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10" w:rsidRPr="00106D3A" w:rsidRDefault="00574210" w:rsidP="00574210">
      <w:pPr>
        <w:jc w:val="center"/>
        <w:rPr>
          <w:b/>
          <w:bCs/>
          <w:sz w:val="32"/>
          <w:szCs w:val="32"/>
          <w:rtl/>
        </w:rPr>
      </w:pPr>
      <w:r w:rsidRPr="00106D3A">
        <w:rPr>
          <w:rFonts w:hint="cs"/>
          <w:b/>
          <w:bCs/>
          <w:sz w:val="32"/>
          <w:szCs w:val="32"/>
          <w:rtl/>
        </w:rPr>
        <w:t>הטיעון הדמוקרטי בזכות ביקורת שיפוטית ביזורית</w:t>
      </w:r>
    </w:p>
    <w:p w:rsidR="00A916A0" w:rsidRPr="00106D3A" w:rsidRDefault="00040195" w:rsidP="00574210">
      <w:pPr>
        <w:jc w:val="center"/>
        <w:rPr>
          <w:i/>
          <w:iCs/>
          <w:sz w:val="24"/>
          <w:rtl/>
        </w:rPr>
      </w:pPr>
      <w:r w:rsidRPr="00106D3A">
        <w:rPr>
          <w:rFonts w:hint="cs"/>
          <w:i/>
          <w:iCs/>
          <w:sz w:val="24"/>
          <w:rtl/>
        </w:rPr>
        <w:t>אורי אהרונסון</w:t>
      </w:r>
      <w:r w:rsidR="0082070E" w:rsidRPr="00106D3A">
        <w:rPr>
          <w:rStyle w:val="FootnoteReference"/>
          <w:i/>
          <w:iCs/>
          <w:sz w:val="24"/>
          <w:rtl/>
        </w:rPr>
        <w:footnoteReference w:customMarkFollows="1" w:id="1"/>
        <w:sym w:font="Symbol" w:char="F02A"/>
      </w:r>
    </w:p>
    <w:p w:rsidR="00A916A0" w:rsidRPr="00106D3A" w:rsidRDefault="00A916A0" w:rsidP="00717746">
      <w:pPr>
        <w:jc w:val="center"/>
        <w:rPr>
          <w:sz w:val="24"/>
          <w:rtl/>
        </w:rPr>
      </w:pPr>
    </w:p>
    <w:p w:rsidR="0061680E" w:rsidRPr="00106D3A" w:rsidRDefault="0061680E" w:rsidP="006B35BF">
      <w:pPr>
        <w:ind w:left="1134" w:right="1134"/>
        <w:jc w:val="both"/>
        <w:rPr>
          <w:i/>
          <w:iCs/>
          <w:sz w:val="24"/>
          <w:rtl/>
        </w:rPr>
      </w:pPr>
      <w:r w:rsidRPr="00106D3A">
        <w:rPr>
          <w:rFonts w:hint="cs"/>
          <w:i/>
          <w:iCs/>
          <w:sz w:val="24"/>
          <w:rtl/>
        </w:rPr>
        <w:t xml:space="preserve">המאמר מציג טיעון בזכות מודל ביזורי לביקורת שיפוטית חוקתית בישראל </w:t>
      </w:r>
      <w:r w:rsidRPr="00106D3A">
        <w:rPr>
          <w:i/>
          <w:iCs/>
          <w:sz w:val="24"/>
          <w:rtl/>
        </w:rPr>
        <w:t>–</w:t>
      </w:r>
      <w:r w:rsidRPr="00106D3A">
        <w:rPr>
          <w:rFonts w:hint="cs"/>
          <w:i/>
          <w:iCs/>
          <w:sz w:val="24"/>
          <w:rtl/>
        </w:rPr>
        <w:t xml:space="preserve"> כלומר הסמכת כל בתי המשפט לבטל חוקים שסותרים את חוקי-היסוד. אף שמבחינה פורמאלית השיטה הישראלית כוללת מסלול ביזורי, </w:t>
      </w:r>
      <w:r w:rsidR="00C83AE5" w:rsidRPr="00106D3A">
        <w:rPr>
          <w:rFonts w:hint="cs"/>
          <w:i/>
          <w:iCs/>
          <w:sz w:val="24"/>
          <w:rtl/>
        </w:rPr>
        <w:t xml:space="preserve">ניסיון העשורים האחרונים מעיד על התכנסות המערכת החוקתית </w:t>
      </w:r>
      <w:r w:rsidR="001B4098" w:rsidRPr="00106D3A">
        <w:rPr>
          <w:rFonts w:hint="cs"/>
          <w:i/>
          <w:iCs/>
          <w:sz w:val="24"/>
          <w:rtl/>
        </w:rPr>
        <w:t>לקצה</w:t>
      </w:r>
      <w:r w:rsidR="00C83AE5" w:rsidRPr="00106D3A">
        <w:rPr>
          <w:rFonts w:hint="cs"/>
          <w:i/>
          <w:iCs/>
          <w:sz w:val="24"/>
          <w:rtl/>
        </w:rPr>
        <w:t xml:space="preserve"> הריכוזי, הממוקד בשפיטה החוקתית בבג"ץ. </w:t>
      </w:r>
      <w:r w:rsidR="001B4098" w:rsidRPr="00106D3A">
        <w:rPr>
          <w:rFonts w:hint="cs"/>
          <w:i/>
          <w:iCs/>
          <w:sz w:val="24"/>
          <w:rtl/>
        </w:rPr>
        <w:t>המאמר טוען שהעצמת הרכיב הביזורי בשפיטה החוקתית תקדם ערכים דמוקרטיים של השתתפות, התדיינות ופלורליזם בהליך החוקתי, ו</w:t>
      </w:r>
      <w:r w:rsidR="00501966" w:rsidRPr="00106D3A">
        <w:rPr>
          <w:rFonts w:hint="cs"/>
          <w:i/>
          <w:iCs/>
          <w:sz w:val="24"/>
          <w:rtl/>
        </w:rPr>
        <w:t>ש</w:t>
      </w:r>
      <w:r w:rsidR="001B4098" w:rsidRPr="00106D3A">
        <w:rPr>
          <w:rFonts w:hint="cs"/>
          <w:i/>
          <w:iCs/>
          <w:sz w:val="24"/>
          <w:rtl/>
        </w:rPr>
        <w:t>קידומם של ערכים אלה</w:t>
      </w:r>
      <w:r w:rsidR="006B35BF" w:rsidRPr="00106D3A">
        <w:rPr>
          <w:rFonts w:hint="cs"/>
          <w:i/>
          <w:iCs/>
          <w:sz w:val="24"/>
          <w:rtl/>
        </w:rPr>
        <w:t xml:space="preserve"> חיוני</w:t>
      </w:r>
      <w:r w:rsidR="001B4098" w:rsidRPr="00106D3A">
        <w:rPr>
          <w:rFonts w:hint="cs"/>
          <w:i/>
          <w:iCs/>
          <w:sz w:val="24"/>
          <w:rtl/>
        </w:rPr>
        <w:t xml:space="preserve"> במיוחד למצב החוקתי הישראלי. </w:t>
      </w:r>
    </w:p>
    <w:p w:rsidR="00F56835" w:rsidRPr="00106D3A" w:rsidRDefault="00F56835" w:rsidP="00F56835">
      <w:pPr>
        <w:ind w:left="1134" w:right="1134"/>
        <w:jc w:val="both"/>
        <w:rPr>
          <w:sz w:val="24"/>
          <w:rtl/>
        </w:rPr>
      </w:pPr>
    </w:p>
    <w:sdt>
      <w:sdtPr>
        <w:rPr>
          <w:rFonts w:ascii="Times New Roman" w:eastAsiaTheme="minorHAnsi" w:hAnsi="Times New Roman" w:cs="David"/>
          <w:b w:val="0"/>
          <w:bCs w:val="0"/>
          <w:color w:val="auto"/>
          <w:sz w:val="24"/>
          <w:szCs w:val="24"/>
          <w:cs/>
          <w:lang w:val="he-IL" w:eastAsia="en-US" w:bidi="he-IL"/>
        </w:rPr>
        <w:id w:val="1227649247"/>
        <w:docPartObj>
          <w:docPartGallery w:val="Table of Contents"/>
          <w:docPartUnique/>
        </w:docPartObj>
      </w:sdtPr>
      <w:sdtEndPr>
        <w:rPr>
          <w:sz w:val="22"/>
          <w:rtl/>
          <w:lang w:val="en-US"/>
        </w:rPr>
      </w:sdtEndPr>
      <w:sdtContent>
        <w:p w:rsidR="008450CE" w:rsidRPr="00106D3A" w:rsidRDefault="008450CE" w:rsidP="008450CE">
          <w:pPr>
            <w:pStyle w:val="TOCHeading"/>
            <w:jc w:val="center"/>
            <w:rPr>
              <w:rFonts w:cs="David"/>
              <w:color w:val="auto"/>
              <w:sz w:val="24"/>
              <w:szCs w:val="24"/>
            </w:rPr>
          </w:pPr>
          <w:r w:rsidRPr="00106D3A">
            <w:rPr>
              <w:rFonts w:cs="David"/>
              <w:color w:val="auto"/>
              <w:sz w:val="24"/>
              <w:szCs w:val="24"/>
              <w:rtl/>
              <w:cs/>
              <w:lang w:val="he-IL" w:bidi="he-IL"/>
            </w:rPr>
            <w:t xml:space="preserve">תוכן </w:t>
          </w:r>
          <w:r w:rsidRPr="00106D3A">
            <w:rPr>
              <w:rFonts w:cs="David" w:hint="cs"/>
              <w:color w:val="auto"/>
              <w:sz w:val="24"/>
              <w:szCs w:val="24"/>
              <w:rtl/>
              <w:cs/>
              <w:lang w:val="he-IL" w:bidi="he-IL"/>
            </w:rPr>
            <w:t>ה</w:t>
          </w:r>
          <w:r w:rsidRPr="00106D3A">
            <w:rPr>
              <w:rFonts w:cs="David"/>
              <w:color w:val="auto"/>
              <w:sz w:val="24"/>
              <w:szCs w:val="24"/>
              <w:rtl/>
              <w:cs/>
              <w:lang w:val="he-IL" w:bidi="he-IL"/>
            </w:rPr>
            <w:t>עניינים</w:t>
          </w:r>
        </w:p>
        <w:p w:rsidR="00106D3A" w:rsidRPr="00106D3A" w:rsidRDefault="001D0D10">
          <w:pPr>
            <w:pStyle w:val="TOC1"/>
            <w:bidi/>
            <w:rPr>
              <w:rFonts w:asciiTheme="minorHAnsi" w:eastAsiaTheme="minorEastAsia" w:hAnsiTheme="minorHAnsi" w:cs="David"/>
              <w:noProof/>
              <w:szCs w:val="22"/>
              <w:rtl/>
            </w:rPr>
          </w:pPr>
          <w:r w:rsidRPr="001D0D10">
            <w:rPr>
              <w:rFonts w:cs="David"/>
              <w:sz w:val="24"/>
            </w:rPr>
            <w:fldChar w:fldCharType="begin"/>
          </w:r>
          <w:r w:rsidR="008450CE" w:rsidRPr="00106D3A">
            <w:rPr>
              <w:rFonts w:cs="David"/>
              <w:sz w:val="24"/>
            </w:rPr>
            <w:instrText xml:space="preserve"> TOC \o "1-3" \h \z \u </w:instrText>
          </w:r>
          <w:r w:rsidRPr="001D0D10">
            <w:rPr>
              <w:rFonts w:cs="David"/>
              <w:sz w:val="24"/>
            </w:rPr>
            <w:fldChar w:fldCharType="separate"/>
          </w:r>
          <w:hyperlink w:anchor="_Toc372223048" w:history="1">
            <w:r w:rsidR="00106D3A" w:rsidRPr="00106D3A">
              <w:rPr>
                <w:rStyle w:val="Hyperlink"/>
                <w:rFonts w:cs="David" w:hint="cs"/>
                <w:noProof/>
                <w:rtl/>
              </w:rPr>
              <w:t>מבוא</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Toc372223048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w:t>
            </w:r>
            <w:r w:rsidRPr="00106D3A">
              <w:rPr>
                <w:rFonts w:cs="David"/>
                <w:noProof/>
                <w:webHidden/>
                <w:rtl/>
              </w:rPr>
              <w:fldChar w:fldCharType="end"/>
            </w:r>
          </w:hyperlink>
        </w:p>
        <w:p w:rsidR="00106D3A" w:rsidRPr="00106D3A" w:rsidRDefault="001D0D10">
          <w:pPr>
            <w:pStyle w:val="TOC1"/>
            <w:tabs>
              <w:tab w:val="left" w:pos="660"/>
            </w:tabs>
            <w:bidi/>
            <w:rPr>
              <w:rFonts w:asciiTheme="minorHAnsi" w:eastAsiaTheme="minorEastAsia" w:hAnsiTheme="minorHAnsi" w:cs="David"/>
              <w:noProof/>
              <w:szCs w:val="22"/>
              <w:rtl/>
            </w:rPr>
          </w:pPr>
          <w:hyperlink w:anchor="_Toc372223049" w:history="1">
            <w:r w:rsidR="00106D3A" w:rsidRPr="00106D3A">
              <w:rPr>
                <w:rStyle w:val="Hyperlink"/>
                <w:rFonts w:cs="David" w:hint="cs"/>
                <w:noProof/>
                <w:rtl/>
              </w:rPr>
              <w:t>א</w:t>
            </w:r>
            <w:r w:rsidR="00106D3A" w:rsidRPr="00106D3A">
              <w:rPr>
                <w:rStyle w:val="Hyperlink"/>
                <w:rFonts w:cs="David"/>
                <w:noProof/>
                <w:rtl/>
              </w:rPr>
              <w:t>.</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הנחת</w:t>
            </w:r>
            <w:r w:rsidR="00106D3A" w:rsidRPr="00106D3A">
              <w:rPr>
                <w:rStyle w:val="Hyperlink"/>
                <w:rFonts w:cs="David"/>
                <w:noProof/>
                <w:rtl/>
              </w:rPr>
              <w:t xml:space="preserve"> </w:t>
            </w:r>
            <w:r w:rsidR="00106D3A" w:rsidRPr="00106D3A">
              <w:rPr>
                <w:rStyle w:val="Hyperlink"/>
                <w:rFonts w:cs="David" w:hint="cs"/>
                <w:noProof/>
                <w:rtl/>
              </w:rPr>
              <w:t>היסודות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Toc372223049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0" w:history="1">
            <w:r w:rsidR="00106D3A" w:rsidRPr="00106D3A">
              <w:rPr>
                <w:rStyle w:val="Hyperlink"/>
                <w:rFonts w:cs="David"/>
                <w:noProof/>
                <w:rtl/>
              </w:rPr>
              <w:t>(1)</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הגדרת</w:t>
            </w:r>
            <w:r w:rsidR="00106D3A" w:rsidRPr="00106D3A">
              <w:rPr>
                <w:rStyle w:val="Hyperlink"/>
                <w:rFonts w:cs="David"/>
                <w:noProof/>
                <w:rtl/>
              </w:rPr>
              <w:t xml:space="preserve"> </w:t>
            </w:r>
            <w:r w:rsidR="00106D3A" w:rsidRPr="00106D3A">
              <w:rPr>
                <w:rStyle w:val="Hyperlink"/>
                <w:rFonts w:cs="David" w:hint="cs"/>
                <w:noProof/>
                <w:rtl/>
              </w:rPr>
              <w:t>מושגים</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Toc372223050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1" w:history="1">
            <w:r w:rsidR="00106D3A" w:rsidRPr="00106D3A">
              <w:rPr>
                <w:rStyle w:val="Hyperlink"/>
                <w:rFonts w:cs="David"/>
                <w:noProof/>
                <w:rtl/>
              </w:rPr>
              <w:t>(2)</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על</w:t>
            </w:r>
            <w:r w:rsidR="00106D3A" w:rsidRPr="00106D3A">
              <w:rPr>
                <w:rStyle w:val="Hyperlink"/>
                <w:rFonts w:cs="David"/>
                <w:noProof/>
                <w:rtl/>
              </w:rPr>
              <w:t xml:space="preserve"> </w:t>
            </w:r>
            <w:r w:rsidR="00106D3A" w:rsidRPr="00106D3A">
              <w:rPr>
                <w:rStyle w:val="Hyperlink"/>
                <w:rFonts w:cs="David" w:hint="cs"/>
                <w:noProof/>
                <w:rtl/>
              </w:rPr>
              <w:t>ביזוריות</w:t>
            </w:r>
            <w:r w:rsidR="00106D3A" w:rsidRPr="00106D3A">
              <w:rPr>
                <w:rStyle w:val="Hyperlink"/>
                <w:rFonts w:cs="David"/>
                <w:noProof/>
                <w:rtl/>
              </w:rPr>
              <w:t xml:space="preserve">, </w:t>
            </w:r>
            <w:r w:rsidR="00106D3A" w:rsidRPr="00106D3A">
              <w:rPr>
                <w:rStyle w:val="Hyperlink"/>
                <w:rFonts w:cs="David" w:hint="cs"/>
                <w:noProof/>
                <w:rtl/>
              </w:rPr>
              <w:t>ריכוזיות</w:t>
            </w:r>
            <w:r w:rsidR="00106D3A" w:rsidRPr="00106D3A">
              <w:rPr>
                <w:rStyle w:val="Hyperlink"/>
                <w:rFonts w:cs="David"/>
                <w:noProof/>
                <w:rtl/>
              </w:rPr>
              <w:t xml:space="preserve">, </w:t>
            </w:r>
            <w:r w:rsidR="00106D3A" w:rsidRPr="00106D3A">
              <w:rPr>
                <w:rStyle w:val="Hyperlink"/>
                <w:rFonts w:cs="David" w:hint="cs"/>
                <w:noProof/>
                <w:rtl/>
              </w:rPr>
              <w:t>תקיפה</w:t>
            </w:r>
            <w:r w:rsidR="00106D3A" w:rsidRPr="00106D3A">
              <w:rPr>
                <w:rStyle w:val="Hyperlink"/>
                <w:rFonts w:cs="David"/>
                <w:noProof/>
                <w:rtl/>
              </w:rPr>
              <w:t xml:space="preserve"> </w:t>
            </w:r>
            <w:r w:rsidR="00106D3A" w:rsidRPr="00106D3A">
              <w:rPr>
                <w:rStyle w:val="Hyperlink"/>
                <w:rFonts w:cs="David" w:hint="cs"/>
                <w:noProof/>
                <w:rtl/>
              </w:rPr>
              <w:t>עקיפה</w:t>
            </w:r>
            <w:r w:rsidR="00106D3A" w:rsidRPr="00106D3A">
              <w:rPr>
                <w:rStyle w:val="Hyperlink"/>
                <w:rFonts w:cs="David"/>
                <w:noProof/>
                <w:rtl/>
              </w:rPr>
              <w:t xml:space="preserve"> </w:t>
            </w:r>
            <w:r w:rsidR="00106D3A" w:rsidRPr="00106D3A">
              <w:rPr>
                <w:rStyle w:val="Hyperlink"/>
                <w:rFonts w:cs="David" w:hint="cs"/>
                <w:noProof/>
                <w:rtl/>
              </w:rPr>
              <w:t>ותקיפה</w:t>
            </w:r>
            <w:r w:rsidR="00106D3A" w:rsidRPr="00106D3A">
              <w:rPr>
                <w:rStyle w:val="Hyperlink"/>
                <w:rFonts w:cs="David"/>
                <w:noProof/>
                <w:rtl/>
              </w:rPr>
              <w:t xml:space="preserve"> </w:t>
            </w:r>
            <w:r w:rsidR="00106D3A" w:rsidRPr="00106D3A">
              <w:rPr>
                <w:rStyle w:val="Hyperlink"/>
                <w:rFonts w:cs="David" w:hint="cs"/>
                <w:noProof/>
                <w:rtl/>
              </w:rPr>
              <w:t>ישירה</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Toc372223051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5</w:t>
            </w:r>
            <w:r w:rsidRPr="00106D3A">
              <w:rPr>
                <w:rFonts w:cs="David"/>
                <w:noProof/>
                <w:webHidden/>
                <w:rtl/>
              </w:rPr>
              <w:fldChar w:fldCharType="end"/>
            </w:r>
          </w:hyperlink>
        </w:p>
        <w:p w:rsidR="00106D3A" w:rsidRPr="00106D3A" w:rsidRDefault="001D0D10">
          <w:pPr>
            <w:pStyle w:val="TOC1"/>
            <w:tabs>
              <w:tab w:val="left" w:pos="660"/>
            </w:tabs>
            <w:bidi/>
            <w:rPr>
              <w:rFonts w:asciiTheme="minorHAnsi" w:eastAsiaTheme="minorEastAsia" w:hAnsiTheme="minorHAnsi" w:cs="David"/>
              <w:noProof/>
              <w:szCs w:val="22"/>
              <w:rtl/>
            </w:rPr>
          </w:pPr>
          <w:hyperlink w:anchor="_Toc372223052" w:history="1">
            <w:r w:rsidR="00106D3A" w:rsidRPr="00106D3A">
              <w:rPr>
                <w:rStyle w:val="Hyperlink"/>
                <w:rFonts w:cs="David" w:hint="cs"/>
                <w:noProof/>
                <w:rtl/>
              </w:rPr>
              <w:t>ב</w:t>
            </w:r>
            <w:r w:rsidR="00106D3A" w:rsidRPr="00106D3A">
              <w:rPr>
                <w:rStyle w:val="Hyperlink"/>
                <w:rFonts w:cs="David"/>
                <w:noProof/>
                <w:rtl/>
              </w:rPr>
              <w:t>.</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המצב</w:t>
            </w:r>
            <w:r w:rsidR="00106D3A" w:rsidRPr="00106D3A">
              <w:rPr>
                <w:rStyle w:val="Hyperlink"/>
                <w:rFonts w:cs="David"/>
                <w:noProof/>
                <w:rtl/>
              </w:rPr>
              <w:t xml:space="preserve"> </w:t>
            </w:r>
            <w:r w:rsidR="00106D3A" w:rsidRPr="00106D3A">
              <w:rPr>
                <w:rStyle w:val="Hyperlink"/>
                <w:rFonts w:cs="David" w:hint="cs"/>
                <w:noProof/>
                <w:rtl/>
              </w:rPr>
              <w:t>בישראל</w:t>
            </w:r>
            <w:r w:rsidR="00106D3A" w:rsidRPr="00106D3A">
              <w:rPr>
                <w:rStyle w:val="Hyperlink"/>
                <w:rFonts w:cs="David"/>
                <w:noProof/>
                <w:rtl/>
              </w:rPr>
              <w:t xml:space="preserve">: </w:t>
            </w:r>
            <w:r w:rsidR="00106D3A" w:rsidRPr="00106D3A">
              <w:rPr>
                <w:rStyle w:val="Hyperlink"/>
                <w:rFonts w:cs="David" w:hint="cs"/>
                <w:noProof/>
                <w:rtl/>
              </w:rPr>
              <w:t>ביזורית</w:t>
            </w:r>
            <w:r w:rsidR="00106D3A" w:rsidRPr="00106D3A">
              <w:rPr>
                <w:rStyle w:val="Hyperlink"/>
                <w:rFonts w:cs="David"/>
                <w:noProof/>
                <w:rtl/>
              </w:rPr>
              <w:t xml:space="preserve"> </w:t>
            </w:r>
            <w:r w:rsidR="00106D3A" w:rsidRPr="00106D3A">
              <w:rPr>
                <w:rStyle w:val="Hyperlink"/>
                <w:rFonts w:cs="David" w:hint="cs"/>
                <w:noProof/>
                <w:rtl/>
              </w:rPr>
              <w:t>להלכה</w:t>
            </w:r>
            <w:r w:rsidR="00106D3A" w:rsidRPr="00106D3A">
              <w:rPr>
                <w:rStyle w:val="Hyperlink"/>
                <w:rFonts w:cs="David"/>
                <w:noProof/>
                <w:rtl/>
              </w:rPr>
              <w:t xml:space="preserve">, </w:t>
            </w:r>
            <w:r w:rsidR="00106D3A" w:rsidRPr="00106D3A">
              <w:rPr>
                <w:rStyle w:val="Hyperlink"/>
                <w:rFonts w:cs="David" w:hint="cs"/>
                <w:noProof/>
                <w:rtl/>
              </w:rPr>
              <w:t>ריכוזית</w:t>
            </w:r>
            <w:r w:rsidR="00106D3A" w:rsidRPr="00106D3A">
              <w:rPr>
                <w:rStyle w:val="Hyperlink"/>
                <w:rFonts w:cs="David"/>
                <w:noProof/>
                <w:rtl/>
              </w:rPr>
              <w:t xml:space="preserve"> </w:t>
            </w:r>
            <w:r w:rsidR="00106D3A" w:rsidRPr="00106D3A">
              <w:rPr>
                <w:rStyle w:val="Hyperlink"/>
                <w:rFonts w:cs="David" w:hint="cs"/>
                <w:noProof/>
                <w:rtl/>
              </w:rPr>
              <w:t>למעשה</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Toc372223052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7</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3" w:history="1">
            <w:r w:rsidR="00106D3A" w:rsidRPr="00106D3A">
              <w:rPr>
                <w:rStyle w:val="Hyperlink"/>
                <w:rFonts w:cs="David"/>
                <w:noProof/>
                <w:rtl/>
              </w:rPr>
              <w:t>(1)</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ישראל</w:t>
            </w:r>
            <w:r w:rsidR="00106D3A" w:rsidRPr="00106D3A">
              <w:rPr>
                <w:rStyle w:val="Hyperlink"/>
                <w:rFonts w:cs="David"/>
                <w:noProof/>
                <w:rtl/>
              </w:rPr>
              <w:t xml:space="preserve"> </w:t>
            </w:r>
            <w:r w:rsidR="00106D3A" w:rsidRPr="00106D3A">
              <w:rPr>
                <w:rStyle w:val="Hyperlink"/>
                <w:rFonts w:cs="David" w:hint="cs"/>
                <w:noProof/>
                <w:rtl/>
              </w:rPr>
              <w:t>כשיטה</w:t>
            </w:r>
            <w:r w:rsidR="00106D3A" w:rsidRPr="00106D3A">
              <w:rPr>
                <w:rStyle w:val="Hyperlink"/>
                <w:rFonts w:cs="David"/>
                <w:noProof/>
                <w:rtl/>
              </w:rPr>
              <w:t xml:space="preserve"> </w:t>
            </w:r>
            <w:r w:rsidR="00106D3A" w:rsidRPr="00106D3A">
              <w:rPr>
                <w:rStyle w:val="Hyperlink"/>
                <w:rFonts w:cs="David" w:hint="cs"/>
                <w:noProof/>
                <w:rtl/>
              </w:rPr>
              <w:t>ביזורית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Toc372223053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7</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4" w:history="1">
            <w:r w:rsidR="00106D3A" w:rsidRPr="00106D3A">
              <w:rPr>
                <w:rStyle w:val="Hyperlink"/>
                <w:rFonts w:cs="David"/>
                <w:noProof/>
                <w:rtl/>
              </w:rPr>
              <w:t>(2)</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פרשת</w:t>
            </w:r>
            <w:r w:rsidR="00106D3A" w:rsidRPr="00106D3A">
              <w:rPr>
                <w:rStyle w:val="Hyperlink"/>
                <w:rFonts w:cs="David"/>
                <w:noProof/>
                <w:rtl/>
              </w:rPr>
              <w:t xml:space="preserve"> </w:t>
            </w:r>
            <w:r w:rsidR="00106D3A" w:rsidRPr="00106D3A">
              <w:rPr>
                <w:rStyle w:val="Hyperlink"/>
                <w:rFonts w:cs="David" w:hint="cs"/>
                <w:noProof/>
                <w:rtl/>
              </w:rPr>
              <w:t>הנדלמן</w:t>
            </w:r>
            <w:r w:rsidR="00106D3A" w:rsidRPr="00106D3A">
              <w:rPr>
                <w:rStyle w:val="Hyperlink"/>
                <w:rFonts w:cs="David"/>
                <w:noProof/>
                <w:rtl/>
              </w:rPr>
              <w:t xml:space="preserve"> </w:t>
            </w:r>
            <w:r w:rsidR="00106D3A" w:rsidRPr="00106D3A">
              <w:rPr>
                <w:rStyle w:val="Hyperlink"/>
                <w:rFonts w:cs="David" w:hint="cs"/>
                <w:noProof/>
                <w:rtl/>
              </w:rPr>
              <w:t>וגורלה</w:t>
            </w:r>
            <w:r w:rsidR="00106D3A" w:rsidRPr="00106D3A">
              <w:rPr>
                <w:rStyle w:val="Hyperlink"/>
                <w:rFonts w:cs="David"/>
                <w:noProof/>
                <w:rtl/>
              </w:rPr>
              <w:t xml:space="preserve"> </w:t>
            </w:r>
            <w:r w:rsidR="00106D3A" w:rsidRPr="00106D3A">
              <w:rPr>
                <w:rStyle w:val="Hyperlink"/>
                <w:rFonts w:cs="David" w:hint="cs"/>
                <w:noProof/>
                <w:rtl/>
              </w:rPr>
              <w:t>של</w:t>
            </w:r>
            <w:r w:rsidR="00106D3A" w:rsidRPr="00106D3A">
              <w:rPr>
                <w:rStyle w:val="Hyperlink"/>
                <w:rFonts w:cs="David"/>
                <w:noProof/>
                <w:rtl/>
              </w:rPr>
              <w:t xml:space="preserve"> </w:t>
            </w:r>
            <w:r w:rsidR="00106D3A" w:rsidRPr="00106D3A">
              <w:rPr>
                <w:rStyle w:val="Hyperlink"/>
                <w:rFonts w:cs="David" w:hint="cs"/>
                <w:noProof/>
                <w:rtl/>
              </w:rPr>
              <w:t>הביקורת</w:t>
            </w:r>
            <w:r w:rsidR="00106D3A" w:rsidRPr="00106D3A">
              <w:rPr>
                <w:rStyle w:val="Hyperlink"/>
                <w:rFonts w:cs="David"/>
                <w:noProof/>
                <w:rtl/>
              </w:rPr>
              <w:t xml:space="preserve"> </w:t>
            </w:r>
            <w:r w:rsidR="00106D3A" w:rsidRPr="00106D3A">
              <w:rPr>
                <w:rStyle w:val="Hyperlink"/>
                <w:rFonts w:cs="David" w:hint="cs"/>
                <w:noProof/>
                <w:rtl/>
              </w:rPr>
              <w:t>השיפוטית</w:t>
            </w:r>
            <w:r w:rsidR="00106D3A" w:rsidRPr="00106D3A">
              <w:rPr>
                <w:rStyle w:val="Hyperlink"/>
                <w:rFonts w:cs="David"/>
                <w:noProof/>
                <w:rtl/>
              </w:rPr>
              <w:t xml:space="preserve"> </w:t>
            </w:r>
            <w:r w:rsidR="00106D3A" w:rsidRPr="00106D3A">
              <w:rPr>
                <w:rStyle w:val="Hyperlink"/>
                <w:rFonts w:cs="David" w:hint="cs"/>
                <w:noProof/>
                <w:rtl/>
              </w:rPr>
              <w:t>הביזורית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Toc372223054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10</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5" w:history="1">
            <w:r w:rsidR="00106D3A" w:rsidRPr="00106D3A">
              <w:rPr>
                <w:rStyle w:val="Hyperlink"/>
                <w:rFonts w:cs="David"/>
                <w:noProof/>
                <w:rtl/>
              </w:rPr>
              <w:t>(3)</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ישראל</w:t>
            </w:r>
            <w:r w:rsidR="00106D3A" w:rsidRPr="00106D3A">
              <w:rPr>
                <w:rStyle w:val="Hyperlink"/>
                <w:rFonts w:cs="David"/>
                <w:noProof/>
                <w:rtl/>
              </w:rPr>
              <w:t xml:space="preserve"> </w:t>
            </w:r>
            <w:r w:rsidR="00106D3A" w:rsidRPr="00106D3A">
              <w:rPr>
                <w:rStyle w:val="Hyperlink"/>
                <w:rFonts w:cs="David" w:hint="cs"/>
                <w:noProof/>
                <w:rtl/>
              </w:rPr>
              <w:t>כשיטה</w:t>
            </w:r>
            <w:r w:rsidR="00106D3A" w:rsidRPr="00106D3A">
              <w:rPr>
                <w:rStyle w:val="Hyperlink"/>
                <w:rFonts w:cs="David"/>
                <w:noProof/>
                <w:rtl/>
              </w:rPr>
              <w:t xml:space="preserve"> </w:t>
            </w:r>
            <w:r w:rsidR="00106D3A" w:rsidRPr="00106D3A">
              <w:rPr>
                <w:rStyle w:val="Hyperlink"/>
                <w:rFonts w:cs="David" w:hint="cs"/>
                <w:noProof/>
                <w:rtl/>
              </w:rPr>
              <w:t>ריכוזית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Toc372223055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11</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6" w:history="1">
            <w:r w:rsidR="00106D3A" w:rsidRPr="00106D3A">
              <w:rPr>
                <w:rStyle w:val="Hyperlink"/>
                <w:rFonts w:cs="David"/>
                <w:noProof/>
                <w:rtl/>
              </w:rPr>
              <w:t>(4)</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מצב</w:t>
            </w:r>
            <w:r w:rsidR="00106D3A" w:rsidRPr="00106D3A">
              <w:rPr>
                <w:rStyle w:val="Hyperlink"/>
                <w:rFonts w:cs="David"/>
                <w:noProof/>
                <w:rtl/>
              </w:rPr>
              <w:t xml:space="preserve"> </w:t>
            </w:r>
            <w:r w:rsidR="00106D3A" w:rsidRPr="00106D3A">
              <w:rPr>
                <w:rStyle w:val="Hyperlink"/>
                <w:rFonts w:cs="David" w:hint="cs"/>
                <w:noProof/>
                <w:rtl/>
              </w:rPr>
              <w:t>השיח</w:t>
            </w:r>
            <w:r w:rsidR="00106D3A" w:rsidRPr="00106D3A">
              <w:rPr>
                <w:rStyle w:val="Hyperlink"/>
                <w:rFonts w:cs="David"/>
                <w:noProof/>
                <w:rtl/>
              </w:rPr>
              <w:t xml:space="preserve">: </w:t>
            </w:r>
            <w:r w:rsidR="00106D3A" w:rsidRPr="00106D3A">
              <w:rPr>
                <w:rStyle w:val="Hyperlink"/>
                <w:rFonts w:cs="David" w:hint="cs"/>
                <w:noProof/>
                <w:rtl/>
              </w:rPr>
              <w:t>קונצנזוס</w:t>
            </w:r>
            <w:r w:rsidR="00106D3A" w:rsidRPr="00106D3A">
              <w:rPr>
                <w:rStyle w:val="Hyperlink"/>
                <w:rFonts w:cs="David"/>
                <w:noProof/>
                <w:rtl/>
              </w:rPr>
              <w:t xml:space="preserve"> </w:t>
            </w:r>
            <w:r w:rsidR="00106D3A" w:rsidRPr="00106D3A">
              <w:rPr>
                <w:rStyle w:val="Hyperlink"/>
                <w:rFonts w:cs="David" w:hint="cs"/>
                <w:noProof/>
                <w:rtl/>
              </w:rPr>
              <w:t>מסקרן</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Toc372223056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13</w:t>
            </w:r>
            <w:r w:rsidRPr="00106D3A">
              <w:rPr>
                <w:rFonts w:cs="David"/>
                <w:noProof/>
                <w:webHidden/>
                <w:rtl/>
              </w:rPr>
              <w:fldChar w:fldCharType="end"/>
            </w:r>
          </w:hyperlink>
        </w:p>
        <w:p w:rsidR="00106D3A" w:rsidRPr="00106D3A" w:rsidRDefault="001D0D10">
          <w:pPr>
            <w:pStyle w:val="TOC1"/>
            <w:tabs>
              <w:tab w:val="left" w:pos="660"/>
            </w:tabs>
            <w:bidi/>
            <w:rPr>
              <w:rFonts w:asciiTheme="minorHAnsi" w:eastAsiaTheme="minorEastAsia" w:hAnsiTheme="minorHAnsi" w:cs="David"/>
              <w:noProof/>
              <w:szCs w:val="22"/>
              <w:rtl/>
            </w:rPr>
          </w:pPr>
          <w:hyperlink w:anchor="_Toc372223057" w:history="1">
            <w:r w:rsidR="00106D3A" w:rsidRPr="00106D3A">
              <w:rPr>
                <w:rStyle w:val="Hyperlink"/>
                <w:rFonts w:cs="David" w:hint="cs"/>
                <w:noProof/>
                <w:rtl/>
              </w:rPr>
              <w:t>ג</w:t>
            </w:r>
            <w:r w:rsidR="00106D3A" w:rsidRPr="00106D3A">
              <w:rPr>
                <w:rStyle w:val="Hyperlink"/>
                <w:rFonts w:cs="David"/>
                <w:noProof/>
                <w:rtl/>
              </w:rPr>
              <w:t>.</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הטיעון</w:t>
            </w:r>
            <w:r w:rsidR="00106D3A" w:rsidRPr="00106D3A">
              <w:rPr>
                <w:rStyle w:val="Hyperlink"/>
                <w:rFonts w:cs="David"/>
                <w:noProof/>
                <w:rtl/>
              </w:rPr>
              <w:t xml:space="preserve"> </w:t>
            </w:r>
            <w:r w:rsidR="00106D3A" w:rsidRPr="00106D3A">
              <w:rPr>
                <w:rStyle w:val="Hyperlink"/>
                <w:rFonts w:cs="David" w:hint="cs"/>
                <w:noProof/>
                <w:rtl/>
              </w:rPr>
              <w:t>הדמוקרטי</w:t>
            </w:r>
            <w:r w:rsidR="00106D3A" w:rsidRPr="00106D3A">
              <w:rPr>
                <w:rStyle w:val="Hyperlink"/>
                <w:rFonts w:cs="David"/>
                <w:noProof/>
                <w:rtl/>
              </w:rPr>
              <w:t xml:space="preserve"> </w:t>
            </w:r>
            <w:r w:rsidR="00106D3A" w:rsidRPr="00106D3A">
              <w:rPr>
                <w:rStyle w:val="Hyperlink"/>
                <w:rFonts w:cs="David" w:hint="cs"/>
                <w:noProof/>
                <w:rtl/>
              </w:rPr>
              <w:t>בזכות</w:t>
            </w:r>
            <w:r w:rsidR="00106D3A" w:rsidRPr="00106D3A">
              <w:rPr>
                <w:rStyle w:val="Hyperlink"/>
                <w:rFonts w:cs="David"/>
                <w:noProof/>
                <w:rtl/>
              </w:rPr>
              <w:t xml:space="preserve"> </w:t>
            </w:r>
            <w:r w:rsidR="00106D3A" w:rsidRPr="00106D3A">
              <w:rPr>
                <w:rStyle w:val="Hyperlink"/>
                <w:rFonts w:cs="David" w:hint="cs"/>
                <w:noProof/>
                <w:rtl/>
              </w:rPr>
              <w:t>ביקורת</w:t>
            </w:r>
            <w:r w:rsidR="00106D3A" w:rsidRPr="00106D3A">
              <w:rPr>
                <w:rStyle w:val="Hyperlink"/>
                <w:rFonts w:cs="David"/>
                <w:noProof/>
                <w:rtl/>
              </w:rPr>
              <w:t xml:space="preserve"> </w:t>
            </w:r>
            <w:r w:rsidR="00106D3A" w:rsidRPr="00106D3A">
              <w:rPr>
                <w:rStyle w:val="Hyperlink"/>
                <w:rFonts w:cs="David" w:hint="cs"/>
                <w:noProof/>
                <w:rtl/>
              </w:rPr>
              <w:t>שיפוטית</w:t>
            </w:r>
            <w:r w:rsidR="00106D3A" w:rsidRPr="00106D3A">
              <w:rPr>
                <w:rStyle w:val="Hyperlink"/>
                <w:rFonts w:cs="David"/>
                <w:noProof/>
                <w:rtl/>
              </w:rPr>
              <w:t xml:space="preserve"> </w:t>
            </w:r>
            <w:r w:rsidR="00106D3A" w:rsidRPr="00106D3A">
              <w:rPr>
                <w:rStyle w:val="Hyperlink"/>
                <w:rFonts w:cs="David" w:hint="cs"/>
                <w:noProof/>
                <w:rtl/>
              </w:rPr>
              <w:t>ביזורית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Toc372223057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16</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8" w:history="1">
            <w:r w:rsidR="00106D3A" w:rsidRPr="00106D3A">
              <w:rPr>
                <w:rStyle w:val="Hyperlink"/>
                <w:rFonts w:cs="David"/>
                <w:noProof/>
                <w:rtl/>
              </w:rPr>
              <w:t>(1)</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תיאוריה</w:t>
            </w:r>
            <w:r w:rsidR="00106D3A" w:rsidRPr="00106D3A">
              <w:rPr>
                <w:rStyle w:val="Hyperlink"/>
                <w:rFonts w:cs="David"/>
                <w:noProof/>
                <w:rtl/>
              </w:rPr>
              <w:t xml:space="preserve"> </w:t>
            </w:r>
            <w:r w:rsidR="00106D3A" w:rsidRPr="00106D3A">
              <w:rPr>
                <w:rStyle w:val="Hyperlink"/>
                <w:rFonts w:cs="David" w:hint="cs"/>
                <w:noProof/>
                <w:rtl/>
              </w:rPr>
              <w:t>דמוקרטית</w:t>
            </w:r>
            <w:r w:rsidR="00106D3A" w:rsidRPr="00106D3A">
              <w:rPr>
                <w:rStyle w:val="Hyperlink"/>
                <w:rFonts w:cs="David"/>
                <w:noProof/>
                <w:rtl/>
              </w:rPr>
              <w:t xml:space="preserve"> </w:t>
            </w:r>
            <w:r w:rsidR="00106D3A" w:rsidRPr="00106D3A">
              <w:rPr>
                <w:rStyle w:val="Hyperlink"/>
                <w:rFonts w:cs="David" w:hint="cs"/>
                <w:noProof/>
                <w:rtl/>
              </w:rPr>
              <w:t>של</w:t>
            </w:r>
            <w:r w:rsidR="00106D3A" w:rsidRPr="00106D3A">
              <w:rPr>
                <w:rStyle w:val="Hyperlink"/>
                <w:rFonts w:cs="David"/>
                <w:noProof/>
                <w:rtl/>
              </w:rPr>
              <w:t xml:space="preserve"> </w:t>
            </w:r>
            <w:r w:rsidR="00106D3A" w:rsidRPr="00106D3A">
              <w:rPr>
                <w:rStyle w:val="Hyperlink"/>
                <w:rFonts w:cs="David" w:hint="cs"/>
                <w:noProof/>
                <w:rtl/>
              </w:rPr>
              <w:t>ההליך</w:t>
            </w:r>
            <w:r w:rsidR="00106D3A" w:rsidRPr="00106D3A">
              <w:rPr>
                <w:rStyle w:val="Hyperlink"/>
                <w:rFonts w:cs="David"/>
                <w:noProof/>
                <w:rtl/>
              </w:rPr>
              <w:t xml:space="preserve"> </w:t>
            </w:r>
            <w:r w:rsidR="00106D3A" w:rsidRPr="00106D3A">
              <w:rPr>
                <w:rStyle w:val="Hyperlink"/>
                <w:rFonts w:cs="David" w:hint="cs"/>
                <w:noProof/>
                <w:rtl/>
              </w:rPr>
              <w:t>החוקתי</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Toc372223058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16</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59" w:history="1">
            <w:r w:rsidR="00106D3A" w:rsidRPr="00106D3A">
              <w:rPr>
                <w:rStyle w:val="Hyperlink"/>
                <w:rFonts w:cs="David"/>
                <w:noProof/>
                <w:rtl/>
              </w:rPr>
              <w:t>(2)</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ערכאות</w:t>
            </w:r>
            <w:r w:rsidR="00106D3A" w:rsidRPr="00106D3A">
              <w:rPr>
                <w:rStyle w:val="Hyperlink"/>
                <w:rFonts w:cs="David"/>
                <w:noProof/>
                <w:rtl/>
              </w:rPr>
              <w:t xml:space="preserve"> </w:t>
            </w:r>
            <w:r w:rsidR="00106D3A" w:rsidRPr="00106D3A">
              <w:rPr>
                <w:rStyle w:val="Hyperlink"/>
                <w:rFonts w:cs="David" w:hint="cs"/>
                <w:noProof/>
                <w:rtl/>
              </w:rPr>
              <w:t>הדיון</w:t>
            </w:r>
            <w:r w:rsidR="00106D3A" w:rsidRPr="00106D3A">
              <w:rPr>
                <w:rStyle w:val="Hyperlink"/>
                <w:rFonts w:cs="David"/>
                <w:noProof/>
                <w:rtl/>
              </w:rPr>
              <w:t xml:space="preserve"> </w:t>
            </w:r>
            <w:r w:rsidR="00106D3A" w:rsidRPr="00106D3A">
              <w:rPr>
                <w:rStyle w:val="Hyperlink"/>
                <w:rFonts w:cs="David" w:hint="cs"/>
                <w:noProof/>
                <w:rtl/>
              </w:rPr>
              <w:t>כזירה</w:t>
            </w:r>
            <w:r w:rsidR="00106D3A" w:rsidRPr="00106D3A">
              <w:rPr>
                <w:rStyle w:val="Hyperlink"/>
                <w:rFonts w:cs="David"/>
                <w:noProof/>
                <w:rtl/>
              </w:rPr>
              <w:t xml:space="preserve"> </w:t>
            </w:r>
            <w:r w:rsidR="00106D3A" w:rsidRPr="00106D3A">
              <w:rPr>
                <w:rStyle w:val="Hyperlink"/>
                <w:rFonts w:cs="David" w:hint="cs"/>
                <w:noProof/>
                <w:rtl/>
              </w:rPr>
              <w:t>דמוקרטית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Toc372223059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19</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60" w:history="1">
            <w:r w:rsidR="00106D3A" w:rsidRPr="00106D3A">
              <w:rPr>
                <w:rStyle w:val="Hyperlink"/>
                <w:rFonts w:cs="David"/>
                <w:noProof/>
                <w:rtl/>
              </w:rPr>
              <w:t>(3)</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ביקורת</w:t>
            </w:r>
            <w:r w:rsidR="00106D3A" w:rsidRPr="00106D3A">
              <w:rPr>
                <w:rStyle w:val="Hyperlink"/>
                <w:rFonts w:cs="David"/>
                <w:noProof/>
                <w:rtl/>
              </w:rPr>
              <w:t xml:space="preserve"> </w:t>
            </w:r>
            <w:r w:rsidR="00106D3A" w:rsidRPr="00106D3A">
              <w:rPr>
                <w:rStyle w:val="Hyperlink"/>
                <w:rFonts w:cs="David" w:hint="cs"/>
                <w:noProof/>
                <w:rtl/>
              </w:rPr>
              <w:t>שיפוטית</w:t>
            </w:r>
            <w:r w:rsidR="00106D3A" w:rsidRPr="00106D3A">
              <w:rPr>
                <w:rStyle w:val="Hyperlink"/>
                <w:rFonts w:cs="David"/>
                <w:noProof/>
                <w:rtl/>
              </w:rPr>
              <w:t xml:space="preserve"> </w:t>
            </w:r>
            <w:r w:rsidR="00106D3A" w:rsidRPr="00106D3A">
              <w:rPr>
                <w:rStyle w:val="Hyperlink"/>
                <w:rFonts w:cs="David" w:hint="cs"/>
                <w:noProof/>
                <w:rtl/>
              </w:rPr>
              <w:t>ביזורית</w:t>
            </w:r>
            <w:r w:rsidR="00106D3A" w:rsidRPr="00106D3A">
              <w:rPr>
                <w:rStyle w:val="Hyperlink"/>
                <w:rFonts w:cs="David"/>
                <w:noProof/>
                <w:rtl/>
              </w:rPr>
              <w:t xml:space="preserve"> </w:t>
            </w:r>
            <w:r w:rsidR="00106D3A" w:rsidRPr="00106D3A">
              <w:rPr>
                <w:rStyle w:val="Hyperlink"/>
                <w:rFonts w:cs="David" w:hint="cs"/>
                <w:noProof/>
                <w:rtl/>
              </w:rPr>
              <w:t>וההקשר</w:t>
            </w:r>
            <w:r w:rsidR="00106D3A" w:rsidRPr="00106D3A">
              <w:rPr>
                <w:rStyle w:val="Hyperlink"/>
                <w:rFonts w:cs="David"/>
                <w:noProof/>
                <w:rtl/>
              </w:rPr>
              <w:t xml:space="preserve"> </w:t>
            </w:r>
            <w:r w:rsidR="00106D3A" w:rsidRPr="00106D3A">
              <w:rPr>
                <w:rStyle w:val="Hyperlink"/>
                <w:rFonts w:cs="David" w:hint="cs"/>
                <w:noProof/>
                <w:rtl/>
              </w:rPr>
              <w:t>הישראלי</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Toc372223060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21</w:t>
            </w:r>
            <w:r w:rsidRPr="00106D3A">
              <w:rPr>
                <w:rFonts w:cs="David"/>
                <w:noProof/>
                <w:webHidden/>
                <w:rtl/>
              </w:rPr>
              <w:fldChar w:fldCharType="end"/>
            </w:r>
          </w:hyperlink>
        </w:p>
        <w:p w:rsidR="00106D3A" w:rsidRPr="00106D3A" w:rsidRDefault="001D0D10">
          <w:pPr>
            <w:pStyle w:val="TOC1"/>
            <w:tabs>
              <w:tab w:val="left" w:pos="660"/>
            </w:tabs>
            <w:bidi/>
            <w:rPr>
              <w:rFonts w:asciiTheme="minorHAnsi" w:eastAsiaTheme="minorEastAsia" w:hAnsiTheme="minorHAnsi" w:cs="David"/>
              <w:noProof/>
              <w:szCs w:val="22"/>
              <w:rtl/>
            </w:rPr>
          </w:pPr>
          <w:hyperlink w:anchor="_Toc372223061" w:history="1">
            <w:r w:rsidR="00106D3A" w:rsidRPr="00106D3A">
              <w:rPr>
                <w:rStyle w:val="Hyperlink"/>
                <w:rFonts w:cs="David" w:hint="cs"/>
                <w:noProof/>
                <w:rtl/>
              </w:rPr>
              <w:t>ד</w:t>
            </w:r>
            <w:r w:rsidR="00106D3A" w:rsidRPr="00106D3A">
              <w:rPr>
                <w:rStyle w:val="Hyperlink"/>
                <w:rFonts w:cs="David"/>
                <w:noProof/>
                <w:rtl/>
              </w:rPr>
              <w:t>.</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ביקורות</w:t>
            </w:r>
            <w:r w:rsidR="00106D3A" w:rsidRPr="00106D3A">
              <w:rPr>
                <w:rStyle w:val="Hyperlink"/>
                <w:rFonts w:cs="David"/>
                <w:noProof/>
                <w:rtl/>
              </w:rPr>
              <w:t xml:space="preserve"> </w:t>
            </w:r>
            <w:r w:rsidR="00106D3A" w:rsidRPr="00106D3A">
              <w:rPr>
                <w:rStyle w:val="Hyperlink"/>
                <w:rFonts w:cs="David" w:hint="cs"/>
                <w:noProof/>
                <w:rtl/>
              </w:rPr>
              <w:t>המודל</w:t>
            </w:r>
            <w:r w:rsidR="00106D3A" w:rsidRPr="00106D3A">
              <w:rPr>
                <w:rStyle w:val="Hyperlink"/>
                <w:rFonts w:cs="David"/>
                <w:noProof/>
                <w:rtl/>
              </w:rPr>
              <w:t xml:space="preserve"> </w:t>
            </w:r>
            <w:r w:rsidR="00106D3A" w:rsidRPr="00106D3A">
              <w:rPr>
                <w:rStyle w:val="Hyperlink"/>
                <w:rFonts w:cs="David" w:hint="cs"/>
                <w:noProof/>
                <w:rtl/>
              </w:rPr>
              <w:t>הביזורי</w:t>
            </w:r>
            <w:r w:rsidR="00106D3A" w:rsidRPr="00106D3A">
              <w:rPr>
                <w:rStyle w:val="Hyperlink"/>
                <w:rFonts w:cs="David"/>
                <w:noProof/>
                <w:rtl/>
              </w:rPr>
              <w:t xml:space="preserve"> – </w:t>
            </w:r>
            <w:r w:rsidR="00106D3A" w:rsidRPr="00106D3A">
              <w:rPr>
                <w:rStyle w:val="Hyperlink"/>
                <w:rFonts w:cs="David" w:hint="cs"/>
                <w:noProof/>
                <w:rtl/>
              </w:rPr>
              <w:t>ומענה</w:t>
            </w:r>
            <w:r w:rsidR="00106D3A" w:rsidRPr="00106D3A">
              <w:rPr>
                <w:rStyle w:val="Hyperlink"/>
                <w:rFonts w:cs="David"/>
                <w:noProof/>
                <w:rtl/>
              </w:rPr>
              <w:t xml:space="preserve"> </w:t>
            </w:r>
            <w:r w:rsidR="00106D3A" w:rsidRPr="00106D3A">
              <w:rPr>
                <w:rStyle w:val="Hyperlink"/>
                <w:rFonts w:cs="David" w:hint="cs"/>
                <w:noProof/>
                <w:rtl/>
              </w:rPr>
              <w:t>להן</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Toc372223061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23</w:t>
            </w:r>
            <w:r w:rsidRPr="00106D3A">
              <w:rPr>
                <w:rFonts w:cs="David"/>
                <w:noProof/>
                <w:webHidden/>
                <w:rtl/>
              </w:rPr>
              <w:fldChar w:fldCharType="end"/>
            </w:r>
          </w:hyperlink>
        </w:p>
        <w:p w:rsidR="00106D3A" w:rsidRPr="00106D3A" w:rsidRDefault="001D0D10">
          <w:pPr>
            <w:pStyle w:val="TOC2"/>
            <w:tabs>
              <w:tab w:val="left" w:pos="880"/>
              <w:tab w:val="right" w:leader="dot" w:pos="8296"/>
            </w:tabs>
            <w:rPr>
              <w:rFonts w:asciiTheme="minorHAnsi" w:eastAsiaTheme="minorEastAsia" w:hAnsiTheme="minorHAnsi" w:cs="David"/>
              <w:noProof/>
              <w:szCs w:val="22"/>
              <w:rtl/>
            </w:rPr>
          </w:pPr>
          <w:hyperlink w:anchor="_Toc372223062" w:history="1">
            <w:r w:rsidR="00106D3A" w:rsidRPr="00106D3A">
              <w:rPr>
                <w:rStyle w:val="Hyperlink"/>
                <w:rFonts w:cs="David"/>
                <w:noProof/>
              </w:rPr>
              <w:t>(1)</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ודאות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Toc372223062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23</w:t>
            </w:r>
            <w:r w:rsidRPr="00106D3A">
              <w:rPr>
                <w:rFonts w:cs="David"/>
                <w:noProof/>
                <w:webHidden/>
                <w:rtl/>
              </w:rPr>
              <w:fldChar w:fldCharType="end"/>
            </w:r>
          </w:hyperlink>
        </w:p>
        <w:p w:rsidR="00106D3A" w:rsidRPr="00106D3A" w:rsidRDefault="001D0D10">
          <w:pPr>
            <w:pStyle w:val="TOC2"/>
            <w:tabs>
              <w:tab w:val="left" w:pos="880"/>
              <w:tab w:val="right" w:leader="dot" w:pos="8296"/>
            </w:tabs>
            <w:rPr>
              <w:rFonts w:asciiTheme="minorHAnsi" w:eastAsiaTheme="minorEastAsia" w:hAnsiTheme="minorHAnsi" w:cs="David"/>
              <w:noProof/>
              <w:szCs w:val="22"/>
              <w:rtl/>
            </w:rPr>
          </w:pPr>
          <w:hyperlink w:anchor="_Toc372223063" w:history="1">
            <w:r w:rsidR="00106D3A" w:rsidRPr="00106D3A">
              <w:rPr>
                <w:rStyle w:val="Hyperlink"/>
                <w:rFonts w:cs="David"/>
                <w:noProof/>
              </w:rPr>
              <w:t>(2)</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שוויון</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Toc372223063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25</w:t>
            </w:r>
            <w:r w:rsidRPr="00106D3A">
              <w:rPr>
                <w:rFonts w:cs="David"/>
                <w:noProof/>
                <w:webHidden/>
                <w:rtl/>
              </w:rPr>
              <w:fldChar w:fldCharType="end"/>
            </w:r>
          </w:hyperlink>
        </w:p>
        <w:p w:rsidR="00106D3A" w:rsidRPr="00106D3A" w:rsidRDefault="001D0D10">
          <w:pPr>
            <w:pStyle w:val="TOC2"/>
            <w:tabs>
              <w:tab w:val="left" w:pos="880"/>
              <w:tab w:val="right" w:leader="dot" w:pos="8296"/>
            </w:tabs>
            <w:rPr>
              <w:rFonts w:asciiTheme="minorHAnsi" w:eastAsiaTheme="minorEastAsia" w:hAnsiTheme="minorHAnsi" w:cs="David"/>
              <w:noProof/>
              <w:szCs w:val="22"/>
              <w:rtl/>
            </w:rPr>
          </w:pPr>
          <w:hyperlink w:anchor="_Toc372223064" w:history="1">
            <w:r w:rsidR="00106D3A" w:rsidRPr="00106D3A">
              <w:rPr>
                <w:rStyle w:val="Hyperlink"/>
                <w:rFonts w:cs="David"/>
                <w:noProof/>
              </w:rPr>
              <w:t>(3)</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יעילות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Toc372223064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25</w:t>
            </w:r>
            <w:r w:rsidRPr="00106D3A">
              <w:rPr>
                <w:rFonts w:cs="David"/>
                <w:noProof/>
                <w:webHidden/>
                <w:rtl/>
              </w:rPr>
              <w:fldChar w:fldCharType="end"/>
            </w:r>
          </w:hyperlink>
        </w:p>
        <w:p w:rsidR="00106D3A" w:rsidRPr="00106D3A" w:rsidRDefault="001D0D10">
          <w:pPr>
            <w:pStyle w:val="TOC2"/>
            <w:tabs>
              <w:tab w:val="left" w:pos="880"/>
              <w:tab w:val="right" w:leader="dot" w:pos="8296"/>
            </w:tabs>
            <w:rPr>
              <w:rFonts w:asciiTheme="minorHAnsi" w:eastAsiaTheme="minorEastAsia" w:hAnsiTheme="minorHAnsi" w:cs="David"/>
              <w:noProof/>
              <w:szCs w:val="22"/>
              <w:rtl/>
            </w:rPr>
          </w:pPr>
          <w:hyperlink w:anchor="_Toc372223065" w:history="1">
            <w:r w:rsidR="00106D3A" w:rsidRPr="00106D3A">
              <w:rPr>
                <w:rStyle w:val="Hyperlink"/>
                <w:rFonts w:cs="David"/>
                <w:noProof/>
              </w:rPr>
              <w:t>(4)</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הגינות</w:t>
            </w:r>
            <w:r w:rsidR="00106D3A" w:rsidRPr="00106D3A">
              <w:rPr>
                <w:rStyle w:val="Hyperlink"/>
                <w:rFonts w:cs="David"/>
                <w:noProof/>
                <w:rtl/>
              </w:rPr>
              <w:t xml:space="preserve"> </w:t>
            </w:r>
            <w:r w:rsidR="00106D3A" w:rsidRPr="00106D3A">
              <w:rPr>
                <w:rStyle w:val="Hyperlink"/>
                <w:rFonts w:cs="David" w:hint="cs"/>
                <w:noProof/>
                <w:rtl/>
              </w:rPr>
              <w:t>חלוקתית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Toc372223065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27</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66" w:history="1">
            <w:r w:rsidR="00106D3A" w:rsidRPr="00106D3A">
              <w:rPr>
                <w:rStyle w:val="Hyperlink"/>
                <w:rFonts w:cs="David"/>
                <w:noProof/>
                <w:rtl/>
              </w:rPr>
              <w:t>(5)</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מדוע</w:t>
            </w:r>
            <w:r w:rsidR="00106D3A" w:rsidRPr="00106D3A">
              <w:rPr>
                <w:rStyle w:val="Hyperlink"/>
                <w:rFonts w:cs="David"/>
                <w:noProof/>
                <w:rtl/>
              </w:rPr>
              <w:t xml:space="preserve"> </w:t>
            </w:r>
            <w:r w:rsidR="00106D3A" w:rsidRPr="00106D3A">
              <w:rPr>
                <w:rStyle w:val="Hyperlink"/>
                <w:rFonts w:cs="David" w:hint="cs"/>
                <w:noProof/>
                <w:rtl/>
              </w:rPr>
              <w:t>בג</w:t>
            </w:r>
            <w:r w:rsidR="00106D3A" w:rsidRPr="00106D3A">
              <w:rPr>
                <w:rStyle w:val="Hyperlink"/>
                <w:rFonts w:cs="David"/>
                <w:noProof/>
                <w:rtl/>
              </w:rPr>
              <w:t>"</w:t>
            </w:r>
            <w:r w:rsidR="00106D3A" w:rsidRPr="00106D3A">
              <w:rPr>
                <w:rStyle w:val="Hyperlink"/>
                <w:rFonts w:cs="David" w:hint="cs"/>
                <w:noProof/>
                <w:rtl/>
              </w:rPr>
              <w:t>ץ</w:t>
            </w:r>
            <w:r w:rsidR="00106D3A" w:rsidRPr="00106D3A">
              <w:rPr>
                <w:rStyle w:val="Hyperlink"/>
                <w:rFonts w:cs="David"/>
                <w:noProof/>
                <w:rtl/>
              </w:rPr>
              <w:t xml:space="preserve"> </w:t>
            </w:r>
            <w:r w:rsidR="00106D3A" w:rsidRPr="00106D3A">
              <w:rPr>
                <w:rStyle w:val="Hyperlink"/>
                <w:rFonts w:cs="David" w:hint="cs"/>
                <w:noProof/>
                <w:rtl/>
              </w:rPr>
              <w:t>אינו</w:t>
            </w:r>
            <w:r w:rsidR="00106D3A" w:rsidRPr="00106D3A">
              <w:rPr>
                <w:rStyle w:val="Hyperlink"/>
                <w:rFonts w:cs="David"/>
                <w:noProof/>
                <w:rtl/>
              </w:rPr>
              <w:t xml:space="preserve"> </w:t>
            </w:r>
            <w:r w:rsidR="00106D3A" w:rsidRPr="00106D3A">
              <w:rPr>
                <w:rStyle w:val="Hyperlink"/>
                <w:rFonts w:cs="David" w:hint="cs"/>
                <w:noProof/>
                <w:rtl/>
              </w:rPr>
              <w:t>הפתרון</w:t>
            </w:r>
            <w:r w:rsidR="00106D3A" w:rsidRPr="00106D3A">
              <w:rPr>
                <w:rStyle w:val="Hyperlink"/>
                <w:rFonts w:cs="David"/>
                <w:noProof/>
                <w:rtl/>
              </w:rPr>
              <w:t>?</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Toc372223066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29</w:t>
            </w:r>
            <w:r w:rsidRPr="00106D3A">
              <w:rPr>
                <w:rFonts w:cs="David"/>
                <w:noProof/>
                <w:webHidden/>
                <w:rtl/>
              </w:rPr>
              <w:fldChar w:fldCharType="end"/>
            </w:r>
          </w:hyperlink>
        </w:p>
        <w:p w:rsidR="00106D3A" w:rsidRPr="00106D3A" w:rsidRDefault="001D0D10">
          <w:pPr>
            <w:pStyle w:val="TOC1"/>
            <w:tabs>
              <w:tab w:val="left" w:pos="660"/>
            </w:tabs>
            <w:bidi/>
            <w:rPr>
              <w:rFonts w:asciiTheme="minorHAnsi" w:eastAsiaTheme="minorEastAsia" w:hAnsiTheme="minorHAnsi" w:cs="David"/>
              <w:noProof/>
              <w:szCs w:val="22"/>
              <w:rtl/>
            </w:rPr>
          </w:pPr>
          <w:hyperlink w:anchor="_Toc372223067" w:history="1">
            <w:r w:rsidR="00106D3A" w:rsidRPr="00106D3A">
              <w:rPr>
                <w:rStyle w:val="Hyperlink"/>
                <w:rFonts w:cs="David" w:hint="cs"/>
                <w:noProof/>
                <w:rtl/>
              </w:rPr>
              <w:t>ה</w:t>
            </w:r>
            <w:r w:rsidR="00106D3A" w:rsidRPr="00106D3A">
              <w:rPr>
                <w:rStyle w:val="Hyperlink"/>
                <w:rFonts w:cs="David"/>
                <w:noProof/>
                <w:rtl/>
              </w:rPr>
              <w:t>.</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ביקורת</w:t>
            </w:r>
            <w:r w:rsidR="00106D3A" w:rsidRPr="00106D3A">
              <w:rPr>
                <w:rStyle w:val="Hyperlink"/>
                <w:rFonts w:cs="David"/>
                <w:noProof/>
                <w:rtl/>
              </w:rPr>
              <w:t xml:space="preserve"> </w:t>
            </w:r>
            <w:r w:rsidR="00106D3A" w:rsidRPr="00106D3A">
              <w:rPr>
                <w:rStyle w:val="Hyperlink"/>
                <w:rFonts w:cs="David" w:hint="cs"/>
                <w:noProof/>
                <w:rtl/>
              </w:rPr>
              <w:t>שיפוטית</w:t>
            </w:r>
            <w:r w:rsidR="00106D3A" w:rsidRPr="00106D3A">
              <w:rPr>
                <w:rStyle w:val="Hyperlink"/>
                <w:rFonts w:cs="David"/>
                <w:noProof/>
                <w:rtl/>
              </w:rPr>
              <w:t xml:space="preserve"> </w:t>
            </w:r>
            <w:r w:rsidR="00106D3A" w:rsidRPr="00106D3A">
              <w:rPr>
                <w:rStyle w:val="Hyperlink"/>
                <w:rFonts w:cs="David" w:hint="cs"/>
                <w:noProof/>
                <w:rtl/>
              </w:rPr>
              <w:t>ביזורית</w:t>
            </w:r>
            <w:r w:rsidR="00106D3A" w:rsidRPr="00106D3A">
              <w:rPr>
                <w:rStyle w:val="Hyperlink"/>
                <w:rFonts w:cs="David"/>
                <w:noProof/>
                <w:rtl/>
              </w:rPr>
              <w:t xml:space="preserve">: </w:t>
            </w:r>
            <w:r w:rsidR="00106D3A" w:rsidRPr="00106D3A">
              <w:rPr>
                <w:rStyle w:val="Hyperlink"/>
                <w:rFonts w:cs="David" w:hint="cs"/>
                <w:noProof/>
                <w:rtl/>
              </w:rPr>
              <w:t>היבטים</w:t>
            </w:r>
            <w:r w:rsidR="00106D3A" w:rsidRPr="00106D3A">
              <w:rPr>
                <w:rStyle w:val="Hyperlink"/>
                <w:rFonts w:cs="David"/>
                <w:noProof/>
                <w:rtl/>
              </w:rPr>
              <w:t xml:space="preserve"> </w:t>
            </w:r>
            <w:r w:rsidR="00106D3A" w:rsidRPr="00106D3A">
              <w:rPr>
                <w:rStyle w:val="Hyperlink"/>
                <w:rFonts w:cs="David" w:hint="cs"/>
                <w:noProof/>
                <w:rtl/>
              </w:rPr>
              <w:t>יישומיים</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Toc372223067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30</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68" w:history="1">
            <w:r w:rsidR="00106D3A" w:rsidRPr="00106D3A">
              <w:rPr>
                <w:rStyle w:val="Hyperlink"/>
                <w:rFonts w:cs="David"/>
                <w:noProof/>
                <w:rtl/>
              </w:rPr>
              <w:t>(1)</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איך</w:t>
            </w:r>
            <w:r w:rsidR="00106D3A" w:rsidRPr="00106D3A">
              <w:rPr>
                <w:rStyle w:val="Hyperlink"/>
                <w:rFonts w:cs="David"/>
                <w:noProof/>
                <w:rtl/>
              </w:rPr>
              <w:t xml:space="preserve"> </w:t>
            </w:r>
            <w:r w:rsidR="00106D3A" w:rsidRPr="00106D3A">
              <w:rPr>
                <w:rStyle w:val="Hyperlink"/>
                <w:rFonts w:cs="David" w:hint="cs"/>
                <w:noProof/>
                <w:rtl/>
              </w:rPr>
              <w:t>להשיג</w:t>
            </w:r>
            <w:r w:rsidR="00106D3A" w:rsidRPr="00106D3A">
              <w:rPr>
                <w:rStyle w:val="Hyperlink"/>
                <w:rFonts w:cs="David"/>
                <w:noProof/>
                <w:rtl/>
              </w:rPr>
              <w:t xml:space="preserve"> </w:t>
            </w:r>
            <w:r w:rsidR="00106D3A" w:rsidRPr="00106D3A">
              <w:rPr>
                <w:rStyle w:val="Hyperlink"/>
                <w:rFonts w:cs="David" w:hint="cs"/>
                <w:noProof/>
                <w:rtl/>
              </w:rPr>
              <w:t>את</w:t>
            </w:r>
            <w:r w:rsidR="00106D3A" w:rsidRPr="00106D3A">
              <w:rPr>
                <w:rStyle w:val="Hyperlink"/>
                <w:rFonts w:cs="David"/>
                <w:noProof/>
                <w:rtl/>
              </w:rPr>
              <w:t xml:space="preserve"> </w:t>
            </w:r>
            <w:r w:rsidR="00106D3A" w:rsidRPr="00106D3A">
              <w:rPr>
                <w:rStyle w:val="Hyperlink"/>
                <w:rFonts w:cs="David" w:hint="cs"/>
                <w:noProof/>
                <w:rtl/>
              </w:rPr>
              <w:t>המטרה</w:t>
            </w:r>
            <w:r w:rsidR="00106D3A" w:rsidRPr="00106D3A">
              <w:rPr>
                <w:rStyle w:val="Hyperlink"/>
                <w:rFonts w:cs="David"/>
                <w:noProof/>
                <w:rtl/>
              </w:rPr>
              <w:t>?</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Toc372223068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30</w:t>
            </w:r>
            <w:r w:rsidRPr="00106D3A">
              <w:rPr>
                <w:rFonts w:cs="David"/>
                <w:noProof/>
                <w:webHidden/>
                <w:rtl/>
              </w:rPr>
              <w:fldChar w:fldCharType="end"/>
            </w:r>
          </w:hyperlink>
        </w:p>
        <w:p w:rsidR="00106D3A" w:rsidRPr="00106D3A" w:rsidRDefault="001D0D10">
          <w:pPr>
            <w:pStyle w:val="TOC2"/>
            <w:tabs>
              <w:tab w:val="left" w:pos="880"/>
              <w:tab w:val="right" w:leader="dot" w:pos="8296"/>
            </w:tabs>
            <w:rPr>
              <w:rFonts w:asciiTheme="minorHAnsi" w:eastAsiaTheme="minorEastAsia" w:hAnsiTheme="minorHAnsi" w:cs="David"/>
              <w:noProof/>
              <w:szCs w:val="22"/>
              <w:rtl/>
            </w:rPr>
          </w:pPr>
          <w:hyperlink w:anchor="_Toc372223069" w:history="1">
            <w:r w:rsidR="00106D3A" w:rsidRPr="00106D3A">
              <w:rPr>
                <w:rStyle w:val="Hyperlink"/>
                <w:rFonts w:cs="David"/>
                <w:noProof/>
              </w:rPr>
              <w:t>(2)</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תקיפה</w:t>
            </w:r>
            <w:r w:rsidR="00106D3A" w:rsidRPr="00106D3A">
              <w:rPr>
                <w:rStyle w:val="Hyperlink"/>
                <w:rFonts w:cs="David"/>
                <w:noProof/>
                <w:rtl/>
              </w:rPr>
              <w:t xml:space="preserve"> </w:t>
            </w:r>
            <w:r w:rsidR="00106D3A" w:rsidRPr="00106D3A">
              <w:rPr>
                <w:rStyle w:val="Hyperlink"/>
                <w:rFonts w:cs="David" w:hint="cs"/>
                <w:noProof/>
                <w:rtl/>
              </w:rPr>
              <w:t>ישירה</w:t>
            </w:r>
            <w:r w:rsidR="00106D3A" w:rsidRPr="00106D3A">
              <w:rPr>
                <w:rStyle w:val="Hyperlink"/>
                <w:rFonts w:cs="David"/>
                <w:noProof/>
                <w:rtl/>
              </w:rPr>
              <w:t xml:space="preserve"> </w:t>
            </w:r>
            <w:r w:rsidR="00106D3A" w:rsidRPr="00106D3A">
              <w:rPr>
                <w:rStyle w:val="Hyperlink"/>
                <w:rFonts w:cs="David" w:hint="cs"/>
                <w:noProof/>
                <w:rtl/>
              </w:rPr>
              <w:t>ותקיפה</w:t>
            </w:r>
            <w:r w:rsidR="00106D3A" w:rsidRPr="00106D3A">
              <w:rPr>
                <w:rStyle w:val="Hyperlink"/>
                <w:rFonts w:cs="David"/>
                <w:noProof/>
                <w:rtl/>
              </w:rPr>
              <w:t xml:space="preserve"> </w:t>
            </w:r>
            <w:r w:rsidR="00106D3A" w:rsidRPr="00106D3A">
              <w:rPr>
                <w:rStyle w:val="Hyperlink"/>
                <w:rFonts w:cs="David" w:hint="cs"/>
                <w:noProof/>
                <w:rtl/>
              </w:rPr>
              <w:t>עקיפה</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Toc372223069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33</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70" w:history="1">
            <w:r w:rsidR="00106D3A" w:rsidRPr="00106D3A">
              <w:rPr>
                <w:rStyle w:val="Hyperlink"/>
                <w:rFonts w:cs="David"/>
                <w:noProof/>
                <w:rtl/>
              </w:rPr>
              <w:t>(3)</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העלאת</w:t>
            </w:r>
            <w:r w:rsidR="00106D3A" w:rsidRPr="00106D3A">
              <w:rPr>
                <w:rStyle w:val="Hyperlink"/>
                <w:rFonts w:cs="David"/>
                <w:noProof/>
                <w:rtl/>
              </w:rPr>
              <w:t xml:space="preserve"> </w:t>
            </w:r>
            <w:r w:rsidR="00106D3A" w:rsidRPr="00106D3A">
              <w:rPr>
                <w:rStyle w:val="Hyperlink"/>
                <w:rFonts w:cs="David" w:hint="cs"/>
                <w:noProof/>
                <w:rtl/>
              </w:rPr>
              <w:t>הטענה</w:t>
            </w:r>
            <w:r w:rsidR="00106D3A" w:rsidRPr="00106D3A">
              <w:rPr>
                <w:rStyle w:val="Hyperlink"/>
                <w:rFonts w:cs="David"/>
                <w:noProof/>
                <w:rtl/>
              </w:rPr>
              <w:t xml:space="preserve"> </w:t>
            </w:r>
            <w:r w:rsidR="00106D3A" w:rsidRPr="00106D3A">
              <w:rPr>
                <w:rStyle w:val="Hyperlink"/>
                <w:rFonts w:cs="David" w:hint="cs"/>
                <w:noProof/>
                <w:rtl/>
              </w:rPr>
              <w:t>החוקתית</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Toc372223070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35</w:t>
            </w:r>
            <w:r w:rsidRPr="00106D3A">
              <w:rPr>
                <w:rFonts w:cs="David"/>
                <w:noProof/>
                <w:webHidden/>
                <w:rtl/>
              </w:rPr>
              <w:fldChar w:fldCharType="end"/>
            </w:r>
          </w:hyperlink>
        </w:p>
        <w:p w:rsidR="00106D3A" w:rsidRPr="00106D3A" w:rsidRDefault="001D0D10">
          <w:pPr>
            <w:pStyle w:val="TOC2"/>
            <w:tabs>
              <w:tab w:val="left" w:pos="1100"/>
              <w:tab w:val="right" w:leader="dot" w:pos="8296"/>
            </w:tabs>
            <w:rPr>
              <w:rFonts w:asciiTheme="minorHAnsi" w:eastAsiaTheme="minorEastAsia" w:hAnsiTheme="minorHAnsi" w:cs="David"/>
              <w:noProof/>
              <w:szCs w:val="22"/>
              <w:rtl/>
            </w:rPr>
          </w:pPr>
          <w:hyperlink w:anchor="_Toc372223071" w:history="1">
            <w:r w:rsidR="00106D3A" w:rsidRPr="00106D3A">
              <w:rPr>
                <w:rStyle w:val="Hyperlink"/>
                <w:rFonts w:cs="David"/>
                <w:noProof/>
                <w:rtl/>
              </w:rPr>
              <w:t>(4)</w:t>
            </w:r>
            <w:r w:rsidR="00106D3A" w:rsidRPr="00106D3A">
              <w:rPr>
                <w:rFonts w:asciiTheme="minorHAnsi" w:eastAsiaTheme="minorEastAsia" w:hAnsiTheme="minorHAnsi" w:cs="David"/>
                <w:noProof/>
                <w:szCs w:val="22"/>
                <w:rtl/>
              </w:rPr>
              <w:tab/>
            </w:r>
            <w:r w:rsidR="00106D3A" w:rsidRPr="00106D3A">
              <w:rPr>
                <w:rStyle w:val="Hyperlink"/>
                <w:rFonts w:cs="David" w:hint="cs"/>
                <w:noProof/>
                <w:rtl/>
              </w:rPr>
              <w:t>התייצבות</w:t>
            </w:r>
            <w:r w:rsidR="00106D3A" w:rsidRPr="00106D3A">
              <w:rPr>
                <w:rStyle w:val="Hyperlink"/>
                <w:rFonts w:cs="David"/>
                <w:noProof/>
                <w:rtl/>
              </w:rPr>
              <w:t xml:space="preserve"> </w:t>
            </w:r>
            <w:r w:rsidR="00106D3A" w:rsidRPr="00106D3A">
              <w:rPr>
                <w:rStyle w:val="Hyperlink"/>
                <w:rFonts w:cs="David" w:hint="cs"/>
                <w:noProof/>
                <w:rtl/>
              </w:rPr>
              <w:t>המדינה</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Toc372223071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36</w:t>
            </w:r>
            <w:r w:rsidRPr="00106D3A">
              <w:rPr>
                <w:rFonts w:cs="David"/>
                <w:noProof/>
                <w:webHidden/>
                <w:rtl/>
              </w:rPr>
              <w:fldChar w:fldCharType="end"/>
            </w:r>
          </w:hyperlink>
        </w:p>
        <w:p w:rsidR="00106D3A" w:rsidRPr="00106D3A" w:rsidRDefault="001D0D10">
          <w:pPr>
            <w:pStyle w:val="TOC1"/>
            <w:bidi/>
            <w:rPr>
              <w:rFonts w:asciiTheme="minorHAnsi" w:eastAsiaTheme="minorEastAsia" w:hAnsiTheme="minorHAnsi" w:cs="David"/>
              <w:noProof/>
              <w:szCs w:val="22"/>
              <w:rtl/>
            </w:rPr>
          </w:pPr>
          <w:hyperlink w:anchor="_Toc372223072" w:history="1">
            <w:r w:rsidR="00106D3A" w:rsidRPr="00106D3A">
              <w:rPr>
                <w:rStyle w:val="Hyperlink"/>
                <w:rFonts w:cs="David" w:hint="cs"/>
                <w:noProof/>
                <w:rtl/>
              </w:rPr>
              <w:t>סיכום</w:t>
            </w:r>
            <w:r w:rsidR="00106D3A" w:rsidRPr="00106D3A">
              <w:rPr>
                <w:rFonts w:cs="David"/>
                <w:noProof/>
                <w:webHidden/>
                <w:rtl/>
              </w:rPr>
              <w:tab/>
            </w:r>
            <w:r w:rsidRPr="00106D3A">
              <w:rPr>
                <w:rFonts w:cs="David"/>
                <w:noProof/>
                <w:webHidden/>
                <w:rtl/>
              </w:rPr>
              <w:fldChar w:fldCharType="begin"/>
            </w:r>
            <w:r w:rsidR="00106D3A" w:rsidRPr="00106D3A">
              <w:rPr>
                <w:rFonts w:cs="David"/>
                <w:noProof/>
                <w:webHidden/>
                <w:rtl/>
              </w:rPr>
              <w:instrText xml:space="preserve"> </w:instrText>
            </w:r>
            <w:r w:rsidR="00106D3A" w:rsidRPr="00106D3A">
              <w:rPr>
                <w:rFonts w:cs="David"/>
                <w:noProof/>
                <w:webHidden/>
              </w:rPr>
              <w:instrText>PAGEREF</w:instrText>
            </w:r>
            <w:r w:rsidR="00106D3A" w:rsidRPr="00106D3A">
              <w:rPr>
                <w:rFonts w:cs="David"/>
                <w:noProof/>
                <w:webHidden/>
                <w:rtl/>
              </w:rPr>
              <w:instrText xml:space="preserve"> _</w:instrText>
            </w:r>
            <w:r w:rsidR="00106D3A" w:rsidRPr="00106D3A">
              <w:rPr>
                <w:rFonts w:cs="David"/>
                <w:noProof/>
                <w:webHidden/>
              </w:rPr>
              <w:instrText>Toc372223072 \h</w:instrText>
            </w:r>
            <w:r w:rsidR="00106D3A" w:rsidRPr="00106D3A">
              <w:rPr>
                <w:rFonts w:cs="David"/>
                <w:noProof/>
                <w:webHidden/>
                <w:rtl/>
              </w:rPr>
              <w:instrText xml:space="preserve"> </w:instrText>
            </w:r>
            <w:r w:rsidRPr="00106D3A">
              <w:rPr>
                <w:rFonts w:cs="David"/>
                <w:noProof/>
                <w:webHidden/>
                <w:rtl/>
              </w:rPr>
            </w:r>
            <w:r w:rsidRPr="00106D3A">
              <w:rPr>
                <w:rFonts w:cs="David"/>
                <w:noProof/>
                <w:webHidden/>
                <w:rtl/>
              </w:rPr>
              <w:fldChar w:fldCharType="separate"/>
            </w:r>
            <w:r w:rsidR="00DE2615">
              <w:rPr>
                <w:rFonts w:cs="David"/>
                <w:noProof/>
                <w:webHidden/>
                <w:rtl/>
              </w:rPr>
              <w:t>38</w:t>
            </w:r>
            <w:r w:rsidRPr="00106D3A">
              <w:rPr>
                <w:rFonts w:cs="David"/>
                <w:noProof/>
                <w:webHidden/>
                <w:rtl/>
              </w:rPr>
              <w:fldChar w:fldCharType="end"/>
            </w:r>
          </w:hyperlink>
        </w:p>
        <w:p w:rsidR="008450CE" w:rsidRPr="00106D3A" w:rsidRDefault="001D0D10">
          <w:pPr>
            <w:rPr>
              <w:rtl/>
              <w:cs/>
            </w:rPr>
          </w:pPr>
          <w:r w:rsidRPr="00106D3A">
            <w:rPr>
              <w:b/>
              <w:bCs/>
              <w:sz w:val="24"/>
              <w:lang w:val="he-IL"/>
            </w:rPr>
            <w:fldChar w:fldCharType="end"/>
          </w:r>
        </w:p>
      </w:sdtContent>
    </w:sdt>
    <w:p w:rsidR="00AD201B" w:rsidRPr="00106D3A" w:rsidRDefault="00AD201B" w:rsidP="00AD201B">
      <w:pPr>
        <w:pStyle w:val="Heading1"/>
        <w:rPr>
          <w:rtl/>
        </w:rPr>
      </w:pPr>
      <w:bookmarkStart w:id="0" w:name="_Toc372223048"/>
      <w:r w:rsidRPr="00106D3A">
        <w:rPr>
          <w:rFonts w:hint="cs"/>
          <w:rtl/>
        </w:rPr>
        <w:t>מבוא</w:t>
      </w:r>
      <w:bookmarkEnd w:id="0"/>
    </w:p>
    <w:p w:rsidR="00EE1FAD" w:rsidRPr="00106D3A" w:rsidRDefault="00EE1FAD" w:rsidP="00EE1FAD">
      <w:pPr>
        <w:ind w:firstLine="720"/>
        <w:jc w:val="both"/>
        <w:rPr>
          <w:sz w:val="24"/>
          <w:rtl/>
        </w:rPr>
      </w:pPr>
      <w:r w:rsidRPr="00106D3A">
        <w:rPr>
          <w:rFonts w:hint="cs"/>
          <w:sz w:val="24"/>
          <w:rtl/>
        </w:rPr>
        <w:t xml:space="preserve">המבנה המוסדי של הביקורת השיפוטית החוקתית בישראל מאופיין בצירוף ייחודי בנוף ההשוואתי: </w:t>
      </w:r>
      <w:r w:rsidR="006B35BF" w:rsidRPr="00106D3A">
        <w:rPr>
          <w:rFonts w:hint="cs"/>
          <w:sz w:val="24"/>
          <w:rtl/>
        </w:rPr>
        <w:t xml:space="preserve">באין חוקה המסדירה נושא זה מפורשות, </w:t>
      </w:r>
      <w:r w:rsidRPr="00106D3A">
        <w:rPr>
          <w:rFonts w:hint="cs"/>
          <w:sz w:val="24"/>
          <w:rtl/>
        </w:rPr>
        <w:t xml:space="preserve">בישראל פועלות זו בצד זו מערכת ריכוזית של ביקורת שיפוטית בה בית המשפט העליון יושב כערכאה ראשונה בעניינים חוקתיים כבית משפט גבוה לצדק; ומערכת ביזורית של ביקורת שיפוטית במסגרתה מוסמכות כל ערכאות הדיון להורות על בטלות חקיקה, בהחלטה שתחולתה מוגבלת לצדדים להליך בלבד. עם זאת, למרות קיומו הפורמאלי של מסלול ביזורי להעלאת טענות חוקתיות ולהכרעה בהן, הפרקטיקה החוקתית בישראל בשני העשורים האחרונים התכנסה לקצה הריכוזי, המדגיש את תפקידו של בג"ץ בתחום הביקורת השיפוטית. ערכאות הדיון הפכו לשחקניות שוליות בתחום החוקתי. </w:t>
      </w:r>
    </w:p>
    <w:p w:rsidR="00EE1FAD" w:rsidRPr="00106D3A" w:rsidRDefault="00EE1FAD" w:rsidP="002F6C72">
      <w:pPr>
        <w:ind w:firstLine="720"/>
        <w:jc w:val="both"/>
        <w:rPr>
          <w:sz w:val="24"/>
          <w:rtl/>
        </w:rPr>
      </w:pPr>
      <w:r w:rsidRPr="00106D3A">
        <w:rPr>
          <w:rFonts w:hint="cs"/>
          <w:sz w:val="24"/>
          <w:rtl/>
        </w:rPr>
        <w:t xml:space="preserve">טענת המאמר היא שזו התפתחות מצערת מבחינה חברתית. </w:t>
      </w:r>
      <w:r w:rsidR="002F6C72">
        <w:rPr>
          <w:rFonts w:hint="cs"/>
          <w:sz w:val="24"/>
          <w:rtl/>
        </w:rPr>
        <w:t>המאמר</w:t>
      </w:r>
      <w:r w:rsidRPr="00106D3A">
        <w:rPr>
          <w:rFonts w:hint="cs"/>
          <w:sz w:val="24"/>
          <w:rtl/>
        </w:rPr>
        <w:t xml:space="preserve"> מבקש להסיט את תשומת הלב בחזרה אל הפוטנציאל הגלום בהתדיינות חוקתית בערכאות הדיון. המאמר מציג טיעון חיובי התומך בהעצמה מחודשת של הליך הביקורת השיפוטית הביזורית, באופן שיהפוך את הליטיגציה בבתי המשפט השונים לזירה משמעותית של שיח חוקתי, הקודם </w:t>
      </w:r>
      <w:r w:rsidRPr="00106D3A">
        <w:rPr>
          <w:sz w:val="24"/>
          <w:rtl/>
        </w:rPr>
        <w:t>–</w:t>
      </w:r>
      <w:r w:rsidRPr="00106D3A">
        <w:rPr>
          <w:rFonts w:hint="cs"/>
          <w:sz w:val="24"/>
          <w:rtl/>
        </w:rPr>
        <w:t xml:space="preserve"> בזמן ולעתים אף בחשיבות </w:t>
      </w:r>
      <w:r w:rsidRPr="00106D3A">
        <w:rPr>
          <w:sz w:val="24"/>
          <w:rtl/>
        </w:rPr>
        <w:t>–</w:t>
      </w:r>
      <w:r w:rsidRPr="00106D3A">
        <w:rPr>
          <w:rFonts w:hint="cs"/>
          <w:sz w:val="24"/>
          <w:rtl/>
        </w:rPr>
        <w:t xml:space="preserve"> להכרעה סופית במחלוקת החוקתית בבית המשפט העליון (או מחוצה לו). </w:t>
      </w:r>
    </w:p>
    <w:p w:rsidR="00EE1FAD" w:rsidRPr="00106D3A" w:rsidRDefault="00EE1FAD" w:rsidP="002B7C48">
      <w:pPr>
        <w:ind w:firstLine="720"/>
        <w:jc w:val="both"/>
        <w:rPr>
          <w:sz w:val="24"/>
          <w:rtl/>
        </w:rPr>
      </w:pPr>
      <w:r w:rsidRPr="00106D3A">
        <w:rPr>
          <w:rFonts w:hint="cs"/>
          <w:sz w:val="24"/>
          <w:rtl/>
        </w:rPr>
        <w:t xml:space="preserve">המאמר כולל אפוא שני מהלכים מרכזיים: תיאורי ונורמטיבי. מטרת המהלך התיאורי היא לחשוף את התהליך שהביא </w:t>
      </w:r>
      <w:r w:rsidR="002B7C48" w:rsidRPr="00106D3A">
        <w:rPr>
          <w:rFonts w:hint="cs"/>
          <w:sz w:val="24"/>
          <w:rtl/>
        </w:rPr>
        <w:t xml:space="preserve">לדחיקתה בפועל של הביקורת השיפוטית </w:t>
      </w:r>
      <w:r w:rsidRPr="00106D3A">
        <w:rPr>
          <w:rFonts w:hint="cs"/>
          <w:sz w:val="24"/>
          <w:rtl/>
        </w:rPr>
        <w:t xml:space="preserve">הביזורית </w:t>
      </w:r>
      <w:r w:rsidR="002B7C48" w:rsidRPr="00106D3A">
        <w:rPr>
          <w:rFonts w:hint="cs"/>
          <w:sz w:val="24"/>
          <w:rtl/>
        </w:rPr>
        <w:t>אל שולי ה</w:t>
      </w:r>
      <w:r w:rsidRPr="00106D3A">
        <w:rPr>
          <w:rFonts w:hint="cs"/>
          <w:sz w:val="24"/>
          <w:rtl/>
        </w:rPr>
        <w:t>הסדר החוקתי בישראל. עיון בפסיקת בית המשפט העליון, בנעשה בערכאות הדיון ובשיח הציבורי והאקדמי מאז כינון חוקי-היסוד של 1992 ו</w:t>
      </w:r>
      <w:r w:rsidR="005174AF" w:rsidRPr="00106D3A">
        <w:rPr>
          <w:rFonts w:hint="cs"/>
          <w:sz w:val="24"/>
          <w:rtl/>
        </w:rPr>
        <w:t xml:space="preserve">מתן </w:t>
      </w:r>
      <w:r w:rsidRPr="00106D3A">
        <w:rPr>
          <w:rFonts w:hint="cs"/>
          <w:sz w:val="24"/>
          <w:rtl/>
        </w:rPr>
        <w:t xml:space="preserve">פסק </w:t>
      </w:r>
      <w:r w:rsidR="005174AF" w:rsidRPr="00106D3A">
        <w:rPr>
          <w:rFonts w:hint="cs"/>
          <w:sz w:val="24"/>
          <w:rtl/>
        </w:rPr>
        <w:t>ה</w:t>
      </w:r>
      <w:r w:rsidRPr="00106D3A">
        <w:rPr>
          <w:rFonts w:hint="cs"/>
          <w:sz w:val="24"/>
          <w:rtl/>
        </w:rPr>
        <w:t xml:space="preserve">דין </w:t>
      </w:r>
      <w:r w:rsidR="005174AF" w:rsidRPr="00106D3A">
        <w:rPr>
          <w:rFonts w:hint="cs"/>
          <w:sz w:val="24"/>
          <w:rtl/>
        </w:rPr>
        <w:t xml:space="preserve">בעניין </w:t>
      </w:r>
      <w:r w:rsidRPr="00106D3A">
        <w:rPr>
          <w:rFonts w:hint="cs"/>
          <w:sz w:val="24"/>
          <w:rtl/>
        </w:rPr>
        <w:t xml:space="preserve">בנק המזרחי </w:t>
      </w:r>
      <w:r w:rsidR="005174AF" w:rsidRPr="00106D3A">
        <w:rPr>
          <w:rFonts w:hint="cs"/>
          <w:sz w:val="24"/>
          <w:rtl/>
        </w:rPr>
        <w:t xml:space="preserve">ב-1995 </w:t>
      </w:r>
      <w:r w:rsidRPr="00106D3A">
        <w:rPr>
          <w:rFonts w:hint="cs"/>
          <w:sz w:val="24"/>
          <w:rtl/>
        </w:rPr>
        <w:t>מלמד שכל השחקנים המעורבים בהליך החוקתי מיקדו את תשומת לבם בראש ובראשונה בפסיקה החוקתית של בג"ץ. למרות ההכרה הפורמאלית בקיומו של מסלול ביזורי של ביקורת שיפוטית</w:t>
      </w:r>
      <w:r w:rsidR="005174AF" w:rsidRPr="00106D3A">
        <w:rPr>
          <w:rFonts w:hint="cs"/>
          <w:sz w:val="24"/>
          <w:rtl/>
        </w:rPr>
        <w:t xml:space="preserve"> בישראל</w:t>
      </w:r>
      <w:r w:rsidRPr="00106D3A">
        <w:rPr>
          <w:rFonts w:hint="cs"/>
          <w:sz w:val="24"/>
          <w:rtl/>
        </w:rPr>
        <w:t xml:space="preserve">, אפשרות זו לא השתרשה בבתי המשפט הדיוניים, ובפועל המערכת כולה מוכוונת לבירור שאלות חוקתיות בפורום הריכוזי שבבית המשפט העליון. </w:t>
      </w:r>
    </w:p>
    <w:p w:rsidR="00EE1FAD" w:rsidRPr="00106D3A" w:rsidRDefault="00EE1FAD" w:rsidP="006B35BF">
      <w:pPr>
        <w:ind w:firstLine="720"/>
        <w:jc w:val="both"/>
        <w:rPr>
          <w:sz w:val="24"/>
          <w:rtl/>
        </w:rPr>
      </w:pPr>
      <w:r w:rsidRPr="00106D3A">
        <w:rPr>
          <w:rFonts w:hint="cs"/>
          <w:sz w:val="24"/>
          <w:rtl/>
        </w:rPr>
        <w:t>כך, עותרים מעדיפים באופן תדיר</w:t>
      </w:r>
      <w:r w:rsidR="00AD094C" w:rsidRPr="00106D3A">
        <w:rPr>
          <w:rFonts w:hint="cs"/>
          <w:sz w:val="24"/>
          <w:rtl/>
        </w:rPr>
        <w:t xml:space="preserve"> את המסלול המהיר לפסיקה תקדימית;</w:t>
      </w:r>
      <w:r w:rsidRPr="00106D3A">
        <w:rPr>
          <w:rFonts w:hint="cs"/>
          <w:sz w:val="24"/>
          <w:rtl/>
        </w:rPr>
        <w:t xml:space="preserve"> שופטי ערכאות הדיון נרתעים בדרך כלל </w:t>
      </w:r>
      <w:r w:rsidR="00AD094C" w:rsidRPr="00106D3A">
        <w:rPr>
          <w:rFonts w:hint="cs"/>
          <w:sz w:val="24"/>
          <w:rtl/>
        </w:rPr>
        <w:t>מלגשת לשאלות של תקפות חוקתית ועל אחת כמה וכמה מלפסול חוקים בפועל;</w:t>
      </w:r>
      <w:r w:rsidRPr="00106D3A">
        <w:rPr>
          <w:rFonts w:hint="cs"/>
          <w:sz w:val="24"/>
          <w:rtl/>
        </w:rPr>
        <w:t xml:space="preserve"> וגם היוזמות השונות לרפורמה במשטר החוקתי </w:t>
      </w:r>
      <w:r w:rsidR="00CC3A9A" w:rsidRPr="00106D3A">
        <w:rPr>
          <w:rFonts w:hint="cs"/>
          <w:sz w:val="24"/>
          <w:rtl/>
        </w:rPr>
        <w:t xml:space="preserve">שנוסחו בעשור האחרון </w:t>
      </w:r>
      <w:r w:rsidRPr="00106D3A">
        <w:rPr>
          <w:rFonts w:hint="cs"/>
          <w:sz w:val="24"/>
          <w:rtl/>
        </w:rPr>
        <w:t xml:space="preserve">מציעות לרכז את הביקורת השיפוטית החוקתית בבית המשפט העליון לבדו. גם בספרות האקדמית מוקדשת תשומת הלב לפסיקות החוקתיות של בג"ץ, והאפשרות לפעילות חוקתית בערכאות הדיון נותרת מחוץ לשיח העיוני ולהכרה הציבורית. דווקא בג"ץ עצמו שולח מעת לעת עותרים לבירור טענותיהם החוקתיות בתקיפה עקיפה בערכאות הנמוכות, אך דומה שהדבר נעשה באופן נסיבתי וללא </w:t>
      </w:r>
      <w:r w:rsidR="006B35BF" w:rsidRPr="00106D3A">
        <w:rPr>
          <w:rFonts w:hint="cs"/>
          <w:sz w:val="24"/>
          <w:rtl/>
        </w:rPr>
        <w:t>דוקטרינה</w:t>
      </w:r>
      <w:r w:rsidRPr="00106D3A">
        <w:rPr>
          <w:rFonts w:hint="cs"/>
          <w:sz w:val="24"/>
          <w:rtl/>
        </w:rPr>
        <w:t xml:space="preserve"> מגובשת. התוצאה היא מערכת ביזורית להלכה אך ריכוזית למעשה. </w:t>
      </w:r>
    </w:p>
    <w:p w:rsidR="00EE1FAD" w:rsidRPr="00106D3A" w:rsidRDefault="00EE1FAD" w:rsidP="00EE1FAD">
      <w:pPr>
        <w:ind w:firstLine="720"/>
        <w:jc w:val="both"/>
        <w:rPr>
          <w:sz w:val="24"/>
          <w:rtl/>
        </w:rPr>
      </w:pPr>
      <w:r w:rsidRPr="00106D3A">
        <w:rPr>
          <w:rFonts w:hint="cs"/>
          <w:sz w:val="24"/>
          <w:rtl/>
        </w:rPr>
        <w:t xml:space="preserve">המהלך השני במאמר הוא נורמטיבי בעיקרו. הוא מבקש לסתור את המגמה הריכוזית הדומיננטית בשיח </w:t>
      </w:r>
      <w:r w:rsidR="006B35BF" w:rsidRPr="00106D3A">
        <w:rPr>
          <w:rFonts w:hint="cs"/>
          <w:sz w:val="24"/>
          <w:rtl/>
        </w:rPr>
        <w:t xml:space="preserve">ובפרקטיקה </w:t>
      </w:r>
      <w:r w:rsidRPr="00106D3A">
        <w:rPr>
          <w:rFonts w:hint="cs"/>
          <w:sz w:val="24"/>
          <w:rtl/>
        </w:rPr>
        <w:t>החוקתי</w:t>
      </w:r>
      <w:r w:rsidR="006B35BF" w:rsidRPr="00106D3A">
        <w:rPr>
          <w:rFonts w:hint="cs"/>
          <w:sz w:val="24"/>
          <w:rtl/>
        </w:rPr>
        <w:t>ים</w:t>
      </w:r>
      <w:r w:rsidRPr="00106D3A">
        <w:rPr>
          <w:rFonts w:hint="cs"/>
          <w:sz w:val="24"/>
          <w:rtl/>
        </w:rPr>
        <w:t xml:space="preserve"> כיום בישראל, באמצעות הצגת טיעון חדש בזכות הביקורת השיפוטית הביזורית. טיעון זה יונק מגישות עדכניות בתיאוריה פוליטית וחוקתית, אשר שואפות לדמוקרטיזציה של ההליך החוקתי </w:t>
      </w:r>
      <w:r w:rsidRPr="00106D3A">
        <w:rPr>
          <w:sz w:val="24"/>
          <w:rtl/>
        </w:rPr>
        <w:t>–</w:t>
      </w:r>
      <w:r w:rsidRPr="00106D3A">
        <w:rPr>
          <w:rFonts w:hint="cs"/>
          <w:sz w:val="24"/>
          <w:rtl/>
        </w:rPr>
        <w:t xml:space="preserve"> כלומר לשילוב רכיבים </w:t>
      </w:r>
      <w:proofErr w:type="spellStart"/>
      <w:r w:rsidRPr="00106D3A">
        <w:rPr>
          <w:rFonts w:hint="cs"/>
          <w:sz w:val="24"/>
          <w:rtl/>
        </w:rPr>
        <w:t>השתתפותיים</w:t>
      </w:r>
      <w:proofErr w:type="spellEnd"/>
      <w:r w:rsidRPr="00106D3A">
        <w:rPr>
          <w:rFonts w:hint="cs"/>
          <w:sz w:val="24"/>
          <w:rtl/>
        </w:rPr>
        <w:t xml:space="preserve"> (</w:t>
      </w:r>
      <w:r w:rsidRPr="00106D3A">
        <w:rPr>
          <w:sz w:val="24"/>
        </w:rPr>
        <w:t>participatory</w:t>
      </w:r>
      <w:r w:rsidRPr="00106D3A">
        <w:rPr>
          <w:rFonts w:hint="cs"/>
          <w:sz w:val="24"/>
          <w:rtl/>
        </w:rPr>
        <w:t xml:space="preserve">) </w:t>
      </w:r>
      <w:proofErr w:type="spellStart"/>
      <w:r w:rsidRPr="00106D3A">
        <w:rPr>
          <w:rFonts w:hint="cs"/>
          <w:sz w:val="24"/>
          <w:rtl/>
        </w:rPr>
        <w:t>והתדיינותיים</w:t>
      </w:r>
      <w:proofErr w:type="spellEnd"/>
      <w:r w:rsidRPr="00106D3A">
        <w:rPr>
          <w:rFonts w:hint="cs"/>
          <w:sz w:val="24"/>
          <w:rtl/>
        </w:rPr>
        <w:t xml:space="preserve"> (</w:t>
      </w:r>
      <w:r w:rsidRPr="00106D3A">
        <w:rPr>
          <w:sz w:val="24"/>
        </w:rPr>
        <w:t>deliberative</w:t>
      </w:r>
      <w:r w:rsidRPr="00106D3A">
        <w:rPr>
          <w:rFonts w:hint="cs"/>
          <w:sz w:val="24"/>
          <w:rtl/>
        </w:rPr>
        <w:t xml:space="preserve">) בתהליכי היצירה והפירוש של נורמות חוקתיות, ולמתן ביטוי לפלורליזם הערכי המאפיין את הקהילה הפוליטית בתהליכים אלה. </w:t>
      </w:r>
    </w:p>
    <w:p w:rsidR="00EE1FAD" w:rsidRPr="00106D3A" w:rsidRDefault="00EE1FAD" w:rsidP="00CC3A9A">
      <w:pPr>
        <w:ind w:firstLine="720"/>
        <w:jc w:val="both"/>
        <w:rPr>
          <w:sz w:val="24"/>
          <w:rtl/>
        </w:rPr>
      </w:pPr>
      <w:r w:rsidRPr="00106D3A">
        <w:rPr>
          <w:rFonts w:hint="cs"/>
          <w:sz w:val="24"/>
          <w:rtl/>
        </w:rPr>
        <w:t xml:space="preserve">אופיו של ההליך בערכאות הדיון אוצר פוטנציאל מוסדי ייחודי לקידום ערכים אלה, ולכן ביקורת שיפוטית ביזורית </w:t>
      </w:r>
      <w:r w:rsidRPr="00106D3A">
        <w:rPr>
          <w:sz w:val="24"/>
          <w:rtl/>
        </w:rPr>
        <w:t>–</w:t>
      </w:r>
      <w:r w:rsidRPr="00106D3A">
        <w:rPr>
          <w:rFonts w:hint="cs"/>
          <w:sz w:val="24"/>
          <w:rtl/>
        </w:rPr>
        <w:t xml:space="preserve"> ככל שבעלי הדין והשופטים בערכאות הדיון מעוּדדים לעשות בה שימוש </w:t>
      </w:r>
      <w:r w:rsidRPr="00106D3A">
        <w:rPr>
          <w:sz w:val="24"/>
          <w:rtl/>
        </w:rPr>
        <w:t>–</w:t>
      </w:r>
      <w:r w:rsidRPr="00106D3A">
        <w:rPr>
          <w:rFonts w:hint="cs"/>
          <w:sz w:val="24"/>
          <w:rtl/>
        </w:rPr>
        <w:t xml:space="preserve"> יכולה ספק לפחות חלק מהתנאים הדרושים לקיום הליך חוקתי דמוקרטי. </w:t>
      </w:r>
      <w:r w:rsidR="00CC3A9A" w:rsidRPr="00106D3A">
        <w:rPr>
          <w:rFonts w:hint="cs"/>
          <w:sz w:val="24"/>
          <w:rtl/>
        </w:rPr>
        <w:t>לעומת</w:t>
      </w:r>
      <w:r w:rsidRPr="00106D3A">
        <w:rPr>
          <w:rFonts w:hint="cs"/>
          <w:sz w:val="24"/>
          <w:rtl/>
        </w:rPr>
        <w:t xml:space="preserve"> ההליך הריכוזי הגורף, </w:t>
      </w:r>
      <w:r w:rsidR="00CC3A9A" w:rsidRPr="00106D3A">
        <w:rPr>
          <w:rFonts w:hint="cs"/>
          <w:sz w:val="24"/>
          <w:rtl/>
        </w:rPr>
        <w:t xml:space="preserve">המתנהל </w:t>
      </w:r>
      <w:r w:rsidRPr="00106D3A">
        <w:rPr>
          <w:rFonts w:hint="cs"/>
          <w:sz w:val="24"/>
          <w:rtl/>
        </w:rPr>
        <w:t>בסגנון "</w:t>
      </w:r>
      <w:proofErr w:type="spellStart"/>
      <w:r w:rsidRPr="00106D3A">
        <w:rPr>
          <w:rFonts w:hint="cs"/>
          <w:sz w:val="24"/>
          <w:rtl/>
        </w:rPr>
        <w:t>הכל</w:t>
      </w:r>
      <w:proofErr w:type="spellEnd"/>
      <w:r w:rsidRPr="00106D3A">
        <w:rPr>
          <w:rFonts w:hint="cs"/>
          <w:sz w:val="24"/>
          <w:rtl/>
        </w:rPr>
        <w:t xml:space="preserve">-או-לא-כלום", ההליך </w:t>
      </w:r>
      <w:proofErr w:type="spellStart"/>
      <w:r w:rsidRPr="00106D3A">
        <w:rPr>
          <w:rFonts w:hint="cs"/>
          <w:sz w:val="24"/>
          <w:rtl/>
        </w:rPr>
        <w:t>הביזורי</w:t>
      </w:r>
      <w:proofErr w:type="spellEnd"/>
      <w:r w:rsidRPr="00106D3A">
        <w:rPr>
          <w:rFonts w:hint="cs"/>
          <w:sz w:val="24"/>
          <w:rtl/>
        </w:rPr>
        <w:t xml:space="preserve"> יכול לייצר שיח חוקתי </w:t>
      </w:r>
      <w:r w:rsidR="0012348E" w:rsidRPr="00106D3A">
        <w:rPr>
          <w:rFonts w:hint="cs"/>
          <w:sz w:val="24"/>
          <w:rtl/>
        </w:rPr>
        <w:t>נמשך ו</w:t>
      </w:r>
      <w:r w:rsidRPr="00106D3A">
        <w:rPr>
          <w:rFonts w:hint="cs"/>
          <w:sz w:val="24"/>
          <w:rtl/>
        </w:rPr>
        <w:t xml:space="preserve">מגוון, אשר מעוגן בנסיבות המשתנות של המקרים הנדונים, ולפתח שדה של עמדות </w:t>
      </w:r>
      <w:r w:rsidRPr="00106D3A">
        <w:rPr>
          <w:rFonts w:hint="cs"/>
          <w:sz w:val="24"/>
          <w:rtl/>
        </w:rPr>
        <w:lastRenderedPageBreak/>
        <w:t>חוקתיות וגישו</w:t>
      </w:r>
      <w:r w:rsidR="0012348E" w:rsidRPr="00106D3A">
        <w:rPr>
          <w:rFonts w:hint="cs"/>
          <w:sz w:val="24"/>
          <w:rtl/>
        </w:rPr>
        <w:t>ת פרשניות לשאלות חוקתיות נפוצות</w:t>
      </w:r>
      <w:r w:rsidRPr="00106D3A">
        <w:rPr>
          <w:rFonts w:hint="cs"/>
          <w:sz w:val="24"/>
          <w:rtl/>
        </w:rPr>
        <w:t xml:space="preserve">. היות שככלל התחולה של החלטה חוקתית בערכאת דיון היא על הצדדים בלבד, עלות הטעות של פסיקות חריגות היא נמוכה, ולכן נוצר גם יותר מקום </w:t>
      </w:r>
      <w:proofErr w:type="spellStart"/>
      <w:r w:rsidRPr="00106D3A">
        <w:rPr>
          <w:rFonts w:hint="cs"/>
          <w:sz w:val="24"/>
          <w:rtl/>
        </w:rPr>
        <w:t>לנסיינות</w:t>
      </w:r>
      <w:proofErr w:type="spellEnd"/>
      <w:r w:rsidRPr="00106D3A">
        <w:rPr>
          <w:rFonts w:hint="cs"/>
          <w:sz w:val="24"/>
          <w:rtl/>
        </w:rPr>
        <w:t xml:space="preserve"> ולחדשנות פרשנית. בסופו של תהליך, הביקורת השיפוטית הביזורית היא גם מקור המספק לבית המשפט העליון (וליתר רשויות השלטון) תפיסות חוקתיות שונות ומידע שנצבר על האופן בו הן מיושמות ב"שטח". במובן זה יש בה גם הבטחה לשיפור האיכות של התקדימים החוקתיים שייקבעו לבסוף.</w:t>
      </w:r>
    </w:p>
    <w:p w:rsidR="00EE1FAD" w:rsidRPr="00106D3A" w:rsidRDefault="00EE1FAD" w:rsidP="006254A8">
      <w:pPr>
        <w:ind w:firstLine="720"/>
        <w:jc w:val="both"/>
        <w:rPr>
          <w:sz w:val="24"/>
          <w:rtl/>
        </w:rPr>
      </w:pPr>
      <w:r w:rsidRPr="00106D3A">
        <w:rPr>
          <w:rFonts w:hint="cs"/>
          <w:sz w:val="24"/>
          <w:rtl/>
        </w:rPr>
        <w:t xml:space="preserve">המאמר בוחן טיעוני נגד לטיעון הדמוקרטי בזכות ביקורת שיפוטית ביזורית, ומציע להם תשובות. נדונים טיעונים קלאסיים בזכות המודל הריכוזי </w:t>
      </w:r>
      <w:r w:rsidRPr="00106D3A">
        <w:rPr>
          <w:sz w:val="24"/>
          <w:rtl/>
        </w:rPr>
        <w:t>–</w:t>
      </w:r>
      <w:r w:rsidRPr="00106D3A">
        <w:rPr>
          <w:rFonts w:hint="cs"/>
          <w:sz w:val="24"/>
          <w:rtl/>
        </w:rPr>
        <w:t xml:space="preserve"> ודאות בדין, חסכון בעלויות ההתדיינות, ושוויון בין בעלי דין דומים. </w:t>
      </w:r>
      <w:r w:rsidR="006254A8" w:rsidRPr="00106D3A">
        <w:rPr>
          <w:rFonts w:hint="cs"/>
          <w:sz w:val="24"/>
          <w:rtl/>
        </w:rPr>
        <w:t>אלא ש</w:t>
      </w:r>
      <w:r w:rsidRPr="00106D3A">
        <w:rPr>
          <w:rFonts w:hint="cs"/>
          <w:sz w:val="24"/>
          <w:rtl/>
        </w:rPr>
        <w:t xml:space="preserve">טיעונים אלה חלים באופן דומה על כל תחום משפטי שנהוג לבררו תחילה בערכאות הדיון, ואין הצדקה לייחד דווקא את הנורמה החוקתית לטיפול ריכוזי. למעשה, המאמר טוען שיש חשיבות מיוחדת לשמר את האופי הדמוקרטי של השפיטה החוקתית, אולי אף יותר מאשר בתחומי משפט אחרים. טיעון נגד נוסף עוסק בהשלכות החלוקתיות של המודל הביזורי, אשר מטיל על עותרים עלויות נכבדות של ניהול הליכים רבים בדרך להכרעה חוקתית יציבה. בכך מוקנה יתרון משמעותי </w:t>
      </w:r>
      <w:r w:rsidR="006C25A6">
        <w:rPr>
          <w:rFonts w:hint="cs"/>
          <w:sz w:val="24"/>
          <w:rtl/>
        </w:rPr>
        <w:t xml:space="preserve">הן לעותרים מבוססים על-פני עותרים חלשים, והן </w:t>
      </w:r>
      <w:r w:rsidRPr="00106D3A">
        <w:rPr>
          <w:rFonts w:hint="cs"/>
          <w:sz w:val="24"/>
          <w:rtl/>
        </w:rPr>
        <w:t>למדינה שהיא שחקן חוזר בהליכים אלה הנהנה מ</w:t>
      </w:r>
      <w:r w:rsidR="001A439E" w:rsidRPr="00106D3A">
        <w:rPr>
          <w:rFonts w:hint="cs"/>
          <w:sz w:val="24"/>
          <w:rtl/>
        </w:rPr>
        <w:t>יתרונות לגודל ומזמינותה של התנהל</w:t>
      </w:r>
      <w:r w:rsidRPr="00106D3A">
        <w:rPr>
          <w:rFonts w:hint="cs"/>
          <w:sz w:val="24"/>
          <w:rtl/>
        </w:rPr>
        <w:t xml:space="preserve">ות אסטרטגית. המודל הביזורי לא יכול לספק מענה שלם לביקורת החלוקתית, אך ניתן לפתחו כך שיכלול רכיבים מוסדיים שינטרלו לפחות חלק מיתרונותיה של המדינה. לבסוף, מסביר המאמר מדוע בג"ץ </w:t>
      </w:r>
      <w:r w:rsidRPr="00106D3A">
        <w:rPr>
          <w:sz w:val="24"/>
          <w:rtl/>
        </w:rPr>
        <w:t>–</w:t>
      </w:r>
      <w:r w:rsidRPr="00106D3A">
        <w:rPr>
          <w:rFonts w:hint="cs"/>
          <w:sz w:val="24"/>
          <w:rtl/>
        </w:rPr>
        <w:t xml:space="preserve"> שבמובנים מסוימים מתנהל כערכאת דיון גדולה </w:t>
      </w:r>
      <w:r w:rsidRPr="00106D3A">
        <w:rPr>
          <w:sz w:val="24"/>
          <w:rtl/>
        </w:rPr>
        <w:t>–</w:t>
      </w:r>
      <w:r w:rsidRPr="00106D3A">
        <w:rPr>
          <w:rFonts w:hint="cs"/>
          <w:sz w:val="24"/>
          <w:rtl/>
        </w:rPr>
        <w:t xml:space="preserve"> יתקשה במתכונתו הנוכחית לממש את התכלית הדמוקרטית של ההליך החוקתי, ולכן החלופה הביזורית עדיפה בעקרון גם עליו. </w:t>
      </w:r>
    </w:p>
    <w:p w:rsidR="00EE1FAD" w:rsidRPr="00106D3A" w:rsidRDefault="00EE1FAD" w:rsidP="006254A8">
      <w:pPr>
        <w:ind w:firstLine="720"/>
        <w:jc w:val="both"/>
        <w:rPr>
          <w:sz w:val="24"/>
          <w:rtl/>
        </w:rPr>
      </w:pPr>
      <w:r w:rsidRPr="00106D3A">
        <w:rPr>
          <w:rFonts w:hint="cs"/>
          <w:sz w:val="24"/>
          <w:rtl/>
        </w:rPr>
        <w:t xml:space="preserve">אם אמנם יוחלט לסטות מן המסלול הנוכחי ולהעצים את הביקורת השיפוטית הביזורית בישראל (אפילו לצד שימור החלופה הריכוזית בבג"ץ), יידרשו מהלכים יישומיים למימוש השינוי. המאמר בוחן אפוא כמה מן ההיבטים היישומיים הללו, בדגש על תפקידו של בית המשפט העליון כמנווט העתירות החוקתיות. פיתוח של דוקטרינת-סף מפורטת שתקבע אילו סוגי תיקים מתאימים לבירור בבג"ץ ואילו ראויים להידון בערכאות הדיון יספק הנחיה בהירה הן לבעלי הדין והן לשופטי </w:t>
      </w:r>
      <w:r w:rsidR="006254A8" w:rsidRPr="00106D3A">
        <w:rPr>
          <w:rFonts w:hint="cs"/>
          <w:sz w:val="24"/>
          <w:rtl/>
        </w:rPr>
        <w:t xml:space="preserve">הערכאות השונות </w:t>
      </w:r>
      <w:r w:rsidRPr="00106D3A">
        <w:rPr>
          <w:rFonts w:hint="cs"/>
          <w:sz w:val="24"/>
          <w:rtl/>
        </w:rPr>
        <w:t xml:space="preserve">באשר </w:t>
      </w:r>
      <w:r w:rsidR="001A439E" w:rsidRPr="00106D3A">
        <w:rPr>
          <w:rFonts w:hint="cs"/>
          <w:sz w:val="24"/>
          <w:rtl/>
        </w:rPr>
        <w:t>לגבולות</w:t>
      </w:r>
      <w:r w:rsidRPr="00106D3A">
        <w:rPr>
          <w:rFonts w:hint="cs"/>
          <w:sz w:val="24"/>
          <w:rtl/>
        </w:rPr>
        <w:t xml:space="preserve"> הלגיטימציה של השפיטה החוקתית בבתי המשפט הנמוכים. בדרך זו הוא עשוי לעודד התנעה מחודשת של המסלול הביזורי, במתכונת של </w:t>
      </w:r>
      <w:r w:rsidR="00BB334B" w:rsidRPr="00106D3A">
        <w:rPr>
          <w:rFonts w:hint="cs"/>
          <w:sz w:val="24"/>
          <w:rtl/>
        </w:rPr>
        <w:t xml:space="preserve">תקיפה </w:t>
      </w:r>
      <w:r w:rsidRPr="00106D3A">
        <w:rPr>
          <w:rFonts w:hint="cs"/>
          <w:sz w:val="24"/>
          <w:rtl/>
        </w:rPr>
        <w:t xml:space="preserve">עקיפה וישירה כאחד. </w:t>
      </w:r>
    </w:p>
    <w:p w:rsidR="00EE1FAD" w:rsidRPr="00106D3A" w:rsidRDefault="00EE1FAD" w:rsidP="00581056">
      <w:pPr>
        <w:ind w:firstLine="720"/>
        <w:jc w:val="both"/>
        <w:rPr>
          <w:sz w:val="24"/>
          <w:rtl/>
        </w:rPr>
      </w:pPr>
      <w:r w:rsidRPr="00106D3A">
        <w:rPr>
          <w:rFonts w:hint="cs"/>
          <w:sz w:val="24"/>
          <w:rtl/>
        </w:rPr>
        <w:t xml:space="preserve">מבנה המאמר הוא כלהלן: </w:t>
      </w:r>
      <w:r w:rsidRPr="00106D3A">
        <w:rPr>
          <w:rFonts w:hint="cs"/>
          <w:b/>
          <w:bCs/>
          <w:sz w:val="24"/>
          <w:rtl/>
        </w:rPr>
        <w:t>פרק א'</w:t>
      </w:r>
      <w:r w:rsidRPr="00106D3A">
        <w:rPr>
          <w:rFonts w:hint="cs"/>
          <w:sz w:val="24"/>
          <w:rtl/>
        </w:rPr>
        <w:t xml:space="preserve"> מניח את היסודות המושגיים לדיון ומציג את הקטגוריות המוסדיות העיקריות הנדונות בו </w:t>
      </w:r>
      <w:r w:rsidRPr="00106D3A">
        <w:rPr>
          <w:sz w:val="24"/>
          <w:rtl/>
        </w:rPr>
        <w:t>–</w:t>
      </w:r>
      <w:r w:rsidRPr="00106D3A">
        <w:rPr>
          <w:rFonts w:hint="cs"/>
          <w:sz w:val="24"/>
          <w:rtl/>
        </w:rPr>
        <w:t xml:space="preserve"> ביקורת שיפוטית, ריכוזיות וביזוריות. </w:t>
      </w:r>
      <w:r w:rsidRPr="00106D3A">
        <w:rPr>
          <w:rFonts w:hint="cs"/>
          <w:b/>
          <w:bCs/>
          <w:sz w:val="24"/>
          <w:rtl/>
        </w:rPr>
        <w:t>פרק ב'</w:t>
      </w:r>
      <w:r w:rsidRPr="00106D3A">
        <w:rPr>
          <w:rFonts w:hint="cs"/>
          <w:sz w:val="24"/>
          <w:rtl/>
        </w:rPr>
        <w:t xml:space="preserve"> כולל את המהלך התיאורי. הוא מציג את היסודות הביזוריים של הביקורת השיפוטית בישראל, אך מראה כיצד אלה נסוגו למעשה בפני החלופה הריכוזית הממוקדת בבג"ץ כערכאה החוקתית הישראלית. </w:t>
      </w:r>
      <w:r w:rsidRPr="00106D3A">
        <w:rPr>
          <w:rFonts w:hint="cs"/>
          <w:b/>
          <w:bCs/>
          <w:sz w:val="24"/>
          <w:rtl/>
        </w:rPr>
        <w:t>פרק ג'</w:t>
      </w:r>
      <w:r w:rsidRPr="00106D3A">
        <w:rPr>
          <w:rFonts w:hint="cs"/>
          <w:sz w:val="24"/>
          <w:rtl/>
        </w:rPr>
        <w:t xml:space="preserve"> פורש את הטיעון הדמוקרטי בזכות ביקורת שיפ</w:t>
      </w:r>
      <w:r w:rsidR="00893252" w:rsidRPr="00106D3A">
        <w:rPr>
          <w:rFonts w:hint="cs"/>
          <w:sz w:val="24"/>
          <w:rtl/>
        </w:rPr>
        <w:t>וטית ביזורית. הוא מציג את עיקריה</w:t>
      </w:r>
      <w:r w:rsidRPr="00106D3A">
        <w:rPr>
          <w:rFonts w:hint="cs"/>
          <w:sz w:val="24"/>
          <w:rtl/>
        </w:rPr>
        <w:t xml:space="preserve"> של תיאוריה דמוקרטית להליך החוקתי, מראה כיצד ההליך בערכאות הדיון יכול לקדם את תכליותיה של תיאוריה כזו, ומדגיש את עוצמת הטיעון דווקא בהקשר הישראלי. </w:t>
      </w:r>
      <w:r w:rsidRPr="00106D3A">
        <w:rPr>
          <w:rFonts w:hint="cs"/>
          <w:b/>
          <w:bCs/>
          <w:sz w:val="24"/>
          <w:rtl/>
        </w:rPr>
        <w:t>פרק ד'</w:t>
      </w:r>
      <w:r w:rsidRPr="00106D3A">
        <w:rPr>
          <w:rFonts w:hint="cs"/>
          <w:sz w:val="24"/>
          <w:rtl/>
        </w:rPr>
        <w:t xml:space="preserve"> דן בביקורות על הטיעון הנורמטיבי, ומציע תשובות. </w:t>
      </w:r>
      <w:r w:rsidRPr="00106D3A">
        <w:rPr>
          <w:rFonts w:hint="cs"/>
          <w:b/>
          <w:bCs/>
          <w:sz w:val="24"/>
          <w:rtl/>
        </w:rPr>
        <w:t>פרק ה'</w:t>
      </w:r>
      <w:r w:rsidRPr="00106D3A">
        <w:rPr>
          <w:rFonts w:hint="cs"/>
          <w:sz w:val="24"/>
          <w:rtl/>
        </w:rPr>
        <w:t xml:space="preserve"> עוסק ב</w:t>
      </w:r>
      <w:r w:rsidR="00581056">
        <w:rPr>
          <w:rFonts w:hint="cs"/>
          <w:sz w:val="24"/>
          <w:rtl/>
        </w:rPr>
        <w:t xml:space="preserve">מגוון </w:t>
      </w:r>
      <w:r w:rsidRPr="00106D3A">
        <w:rPr>
          <w:rFonts w:hint="cs"/>
          <w:sz w:val="24"/>
          <w:rtl/>
        </w:rPr>
        <w:t xml:space="preserve">היבטים היישומיים הנגזרים </w:t>
      </w:r>
      <w:r w:rsidR="00581056">
        <w:rPr>
          <w:rFonts w:hint="cs"/>
          <w:sz w:val="24"/>
          <w:rtl/>
        </w:rPr>
        <w:t xml:space="preserve">מהעצמת </w:t>
      </w:r>
      <w:r w:rsidRPr="00106D3A">
        <w:rPr>
          <w:rFonts w:hint="cs"/>
          <w:sz w:val="24"/>
          <w:rtl/>
        </w:rPr>
        <w:t>המודל הביזורי.</w:t>
      </w:r>
    </w:p>
    <w:p w:rsidR="00F17A60" w:rsidRPr="00106D3A" w:rsidRDefault="00F17A60" w:rsidP="006D0B13">
      <w:pPr>
        <w:jc w:val="both"/>
        <w:rPr>
          <w:sz w:val="24"/>
        </w:rPr>
      </w:pPr>
    </w:p>
    <w:p w:rsidR="005E3B60" w:rsidRPr="00106D3A" w:rsidRDefault="005E3B60" w:rsidP="00AD201B">
      <w:pPr>
        <w:pStyle w:val="Heading1"/>
        <w:numPr>
          <w:ilvl w:val="0"/>
          <w:numId w:val="8"/>
        </w:numPr>
      </w:pPr>
      <w:bookmarkStart w:id="1" w:name="_Toc372223049"/>
      <w:r w:rsidRPr="00106D3A">
        <w:rPr>
          <w:rFonts w:hint="cs"/>
          <w:rtl/>
        </w:rPr>
        <w:t>הנחת היסודות</w:t>
      </w:r>
      <w:bookmarkEnd w:id="1"/>
    </w:p>
    <w:p w:rsidR="00E673B5" w:rsidRPr="00106D3A" w:rsidRDefault="00E673B5" w:rsidP="00D374A3">
      <w:pPr>
        <w:pStyle w:val="Heading2"/>
        <w:rPr>
          <w:rtl/>
        </w:rPr>
      </w:pPr>
      <w:bookmarkStart w:id="2" w:name="_Toc372223050"/>
      <w:r w:rsidRPr="00106D3A">
        <w:rPr>
          <w:rFonts w:hint="cs"/>
          <w:rtl/>
        </w:rPr>
        <w:t>הגדרת מושגים</w:t>
      </w:r>
      <w:bookmarkEnd w:id="2"/>
    </w:p>
    <w:p w:rsidR="00F046DC" w:rsidRPr="00106D3A" w:rsidRDefault="00E34C51" w:rsidP="00796E09">
      <w:pPr>
        <w:ind w:firstLine="720"/>
        <w:jc w:val="both"/>
        <w:rPr>
          <w:sz w:val="24"/>
          <w:rtl/>
        </w:rPr>
      </w:pPr>
      <w:r w:rsidRPr="00106D3A">
        <w:rPr>
          <w:rFonts w:hint="cs"/>
          <w:sz w:val="24"/>
          <w:rtl/>
        </w:rPr>
        <w:t xml:space="preserve">כבסיס לדיון שיבוא, להלן הגדרות </w:t>
      </w:r>
      <w:r w:rsidR="00796E09" w:rsidRPr="00106D3A">
        <w:rPr>
          <w:rFonts w:hint="cs"/>
          <w:sz w:val="24"/>
          <w:rtl/>
        </w:rPr>
        <w:t>כלליות</w:t>
      </w:r>
      <w:r w:rsidRPr="00106D3A">
        <w:rPr>
          <w:rFonts w:hint="cs"/>
          <w:sz w:val="24"/>
          <w:rtl/>
        </w:rPr>
        <w:t xml:space="preserve"> למושגים העיקריים שיופיעו בו. איני מציע כאן הגדרות רשמיות וא</w:t>
      </w:r>
      <w:r w:rsidR="007D0C75" w:rsidRPr="00106D3A">
        <w:rPr>
          <w:rFonts w:hint="cs"/>
          <w:sz w:val="24"/>
          <w:rtl/>
        </w:rPr>
        <w:t>י</w:t>
      </w:r>
      <w:r w:rsidRPr="00106D3A">
        <w:rPr>
          <w:rFonts w:hint="cs"/>
          <w:sz w:val="24"/>
          <w:rtl/>
        </w:rPr>
        <w:t>ני מתיימר לתפוס באמצעות הגדרות אלה את כל המובנים האפשריים של המושגים, או את האופן שבו יובנו בכל שיטה או הקשר. מטרת ההגדרות היא לפשט את קריאת המאמר באמצעות הבהרת נושאיו, ויומרתן היא לחפוף לשימוש השגור במושגים אלה בשיח החוקתי</w:t>
      </w:r>
      <w:r w:rsidR="007D0C75" w:rsidRPr="00106D3A">
        <w:rPr>
          <w:rFonts w:hint="cs"/>
          <w:sz w:val="24"/>
          <w:rtl/>
        </w:rPr>
        <w:t xml:space="preserve"> העדכני</w:t>
      </w:r>
      <w:r w:rsidRPr="00106D3A">
        <w:rPr>
          <w:rFonts w:hint="cs"/>
          <w:sz w:val="24"/>
          <w:rtl/>
        </w:rPr>
        <w:t>.</w:t>
      </w:r>
    </w:p>
    <w:p w:rsidR="007C52A1" w:rsidRPr="00106D3A" w:rsidRDefault="00F046DC" w:rsidP="001B671C">
      <w:pPr>
        <w:ind w:firstLine="720"/>
        <w:jc w:val="both"/>
        <w:rPr>
          <w:sz w:val="24"/>
          <w:rtl/>
        </w:rPr>
      </w:pPr>
      <w:r w:rsidRPr="00106D3A">
        <w:rPr>
          <w:rFonts w:hint="cs"/>
          <w:b/>
          <w:bCs/>
          <w:sz w:val="24"/>
          <w:rtl/>
        </w:rPr>
        <w:lastRenderedPageBreak/>
        <w:t>ביקורת שיפוטית</w:t>
      </w:r>
      <w:r w:rsidRPr="00106D3A">
        <w:rPr>
          <w:rFonts w:hint="cs"/>
          <w:sz w:val="24"/>
          <w:rtl/>
        </w:rPr>
        <w:t xml:space="preserve">. </w:t>
      </w:r>
      <w:r w:rsidR="001A4BF5" w:rsidRPr="00106D3A">
        <w:rPr>
          <w:rFonts w:hint="cs"/>
          <w:sz w:val="24"/>
          <w:rtl/>
        </w:rPr>
        <w:t xml:space="preserve">"ביקורת שיפוטית" היא </w:t>
      </w:r>
      <w:r w:rsidR="007C52A1" w:rsidRPr="00106D3A">
        <w:rPr>
          <w:rFonts w:hint="cs"/>
          <w:sz w:val="24"/>
          <w:rtl/>
        </w:rPr>
        <w:t>קביעתה</w:t>
      </w:r>
      <w:r w:rsidR="001A4BF5" w:rsidRPr="00106D3A">
        <w:rPr>
          <w:rFonts w:hint="cs"/>
          <w:sz w:val="24"/>
          <w:rtl/>
        </w:rPr>
        <w:t xml:space="preserve"> של ערכאה שיפוטית או טריבונל </w:t>
      </w:r>
      <w:r w:rsidR="007C52A1" w:rsidRPr="00106D3A">
        <w:rPr>
          <w:rFonts w:hint="cs"/>
          <w:sz w:val="24"/>
          <w:rtl/>
        </w:rPr>
        <w:t xml:space="preserve">כעין-שיפוטי, לפיה </w:t>
      </w:r>
      <w:r w:rsidR="00413B68" w:rsidRPr="00106D3A">
        <w:rPr>
          <w:rFonts w:hint="cs"/>
          <w:sz w:val="24"/>
          <w:rtl/>
        </w:rPr>
        <w:t>חקיקה ראשית (חוק או חלק מחוק) בטל</w:t>
      </w:r>
      <w:r w:rsidR="00D36F10" w:rsidRPr="00106D3A">
        <w:rPr>
          <w:rFonts w:hint="cs"/>
          <w:sz w:val="24"/>
          <w:rtl/>
        </w:rPr>
        <w:t>ה</w:t>
      </w:r>
      <w:r w:rsidR="00413B68" w:rsidRPr="00106D3A">
        <w:rPr>
          <w:rFonts w:hint="cs"/>
          <w:sz w:val="24"/>
          <w:rtl/>
        </w:rPr>
        <w:t xml:space="preserve"> עקב סתירה אסורה לנורמה חוקתית גוברת. </w:t>
      </w:r>
      <w:r w:rsidR="00A3229A" w:rsidRPr="00106D3A">
        <w:rPr>
          <w:rFonts w:hint="cs"/>
          <w:sz w:val="24"/>
          <w:rtl/>
        </w:rPr>
        <w:t xml:space="preserve">הדיון מוגבל אפוא לביקורת שיפוטית חוקתית בלבד </w:t>
      </w:r>
      <w:r w:rsidR="00A3229A" w:rsidRPr="00106D3A">
        <w:rPr>
          <w:sz w:val="24"/>
          <w:rtl/>
        </w:rPr>
        <w:t>–</w:t>
      </w:r>
      <w:r w:rsidR="00A3229A" w:rsidRPr="00106D3A">
        <w:rPr>
          <w:rFonts w:hint="cs"/>
          <w:sz w:val="24"/>
          <w:rtl/>
        </w:rPr>
        <w:t xml:space="preserve"> איני עוסק בביקורת שיפוטית המבוססת על היררכיות נורמטיביות נמוכות יותר (למשל ביקורת שיפוטית מנהלית המבטלת חקיקת-משנה או </w:t>
      </w:r>
      <w:r w:rsidR="0005207A" w:rsidRPr="00106D3A">
        <w:rPr>
          <w:rFonts w:hint="cs"/>
          <w:sz w:val="24"/>
          <w:rtl/>
        </w:rPr>
        <w:t>מעשה</w:t>
      </w:r>
      <w:r w:rsidR="00A3229A" w:rsidRPr="00106D3A">
        <w:rPr>
          <w:rFonts w:hint="cs"/>
          <w:sz w:val="24"/>
          <w:rtl/>
        </w:rPr>
        <w:t xml:space="preserve"> מנהלי </w:t>
      </w:r>
      <w:r w:rsidR="0005207A" w:rsidRPr="00106D3A">
        <w:rPr>
          <w:rFonts w:hint="cs"/>
          <w:sz w:val="24"/>
          <w:rtl/>
        </w:rPr>
        <w:t xml:space="preserve">אחר </w:t>
      </w:r>
      <w:r w:rsidR="00A3229A" w:rsidRPr="00106D3A">
        <w:rPr>
          <w:rFonts w:hint="cs"/>
          <w:sz w:val="24"/>
          <w:rtl/>
        </w:rPr>
        <w:t>עקב סתירה לחקיקה ראשית</w:t>
      </w:r>
      <w:r w:rsidR="00552B29" w:rsidRPr="00106D3A">
        <w:rPr>
          <w:rFonts w:hint="cs"/>
          <w:sz w:val="24"/>
          <w:rtl/>
        </w:rPr>
        <w:t xml:space="preserve"> או לנורמה </w:t>
      </w:r>
      <w:r w:rsidR="007C52A1" w:rsidRPr="00106D3A">
        <w:rPr>
          <w:rFonts w:hint="cs"/>
          <w:sz w:val="24"/>
          <w:rtl/>
        </w:rPr>
        <w:t>שמקורה ב</w:t>
      </w:r>
      <w:r w:rsidR="00552B29" w:rsidRPr="00106D3A">
        <w:rPr>
          <w:rFonts w:hint="cs"/>
          <w:sz w:val="24"/>
          <w:rtl/>
        </w:rPr>
        <w:t>משפט המקובל</w:t>
      </w:r>
      <w:r w:rsidR="00A3229A" w:rsidRPr="00106D3A">
        <w:rPr>
          <w:rFonts w:hint="cs"/>
          <w:sz w:val="24"/>
          <w:rtl/>
        </w:rPr>
        <w:t>).</w:t>
      </w:r>
      <w:r w:rsidR="00552B29" w:rsidRPr="00106D3A">
        <w:rPr>
          <w:rFonts w:hint="cs"/>
          <w:sz w:val="24"/>
          <w:rtl/>
        </w:rPr>
        <w:t xml:space="preserve"> </w:t>
      </w:r>
      <w:r w:rsidR="007C52A1" w:rsidRPr="00106D3A">
        <w:rPr>
          <w:rFonts w:hint="cs"/>
          <w:sz w:val="24"/>
          <w:rtl/>
        </w:rPr>
        <w:t xml:space="preserve">אף שחלק מהטיעונים שיוצגו במאמר חלים גם על ביקורת שיפוטית מרמה נמוכה יותר, השיקולים אינם זהים והם אינם חלק מהדיון הנוכחי. </w:t>
      </w:r>
      <w:r w:rsidR="00D24164" w:rsidRPr="00106D3A">
        <w:rPr>
          <w:rFonts w:hint="cs"/>
          <w:sz w:val="24"/>
          <w:rtl/>
        </w:rPr>
        <w:t xml:space="preserve">הגדרה זו של ביקורת שיפוטית </w:t>
      </w:r>
      <w:r w:rsidR="00F43DEB" w:rsidRPr="00106D3A">
        <w:rPr>
          <w:rFonts w:hint="cs"/>
          <w:sz w:val="24"/>
          <w:rtl/>
        </w:rPr>
        <w:t xml:space="preserve">מחריגה גם הסדרים של ביקורת שיפוטית רכה או חלשה, בה הקביעה השיפוטית אינה מובילה לבטלות בפועל. המודל שמעסיק אותי הוא המודל הישראלי, שהשראתו בשיטות חוקתיות כמו ארצות הברית, </w:t>
      </w:r>
      <w:r w:rsidR="0005207A" w:rsidRPr="00106D3A">
        <w:rPr>
          <w:rFonts w:hint="cs"/>
          <w:sz w:val="24"/>
          <w:rtl/>
        </w:rPr>
        <w:t xml:space="preserve">קנדה, </w:t>
      </w:r>
      <w:r w:rsidR="00F43DEB" w:rsidRPr="00106D3A">
        <w:rPr>
          <w:rFonts w:hint="cs"/>
          <w:sz w:val="24"/>
          <w:rtl/>
        </w:rPr>
        <w:t xml:space="preserve">גרמניה, או דרום אפריקה. </w:t>
      </w:r>
      <w:r w:rsidR="005F36FE" w:rsidRPr="00106D3A">
        <w:rPr>
          <w:rFonts w:hint="cs"/>
          <w:sz w:val="24"/>
          <w:rtl/>
        </w:rPr>
        <w:t xml:space="preserve">לבסוף, ההגדרה של מאמר זה לביקורת שיפוטית מתייחסת רק לביקורת תכנית. היא אינה כוללת ביקורת שיפוטית המבוססת על פגמים בהליך החקיקה </w:t>
      </w:r>
      <w:r w:rsidR="005F36FE" w:rsidRPr="00106D3A">
        <w:rPr>
          <w:sz w:val="24"/>
          <w:rtl/>
        </w:rPr>
        <w:t>–</w:t>
      </w:r>
      <w:r w:rsidR="005F36FE" w:rsidRPr="00106D3A">
        <w:rPr>
          <w:rFonts w:hint="cs"/>
          <w:sz w:val="24"/>
          <w:rtl/>
        </w:rPr>
        <w:t xml:space="preserve"> מקרה מיוחד שיש לו היבטים מוסדיים מובחנים. </w:t>
      </w:r>
    </w:p>
    <w:p w:rsidR="00C74967" w:rsidRPr="00106D3A" w:rsidRDefault="00C74967" w:rsidP="005B7E66">
      <w:pPr>
        <w:ind w:firstLine="720"/>
        <w:jc w:val="both"/>
        <w:rPr>
          <w:sz w:val="24"/>
          <w:rtl/>
        </w:rPr>
      </w:pPr>
      <w:r w:rsidRPr="00106D3A">
        <w:rPr>
          <w:rFonts w:hint="cs"/>
          <w:sz w:val="24"/>
          <w:rtl/>
        </w:rPr>
        <w:t>המאמר עוסק אם כן בביקורת שיפוטית מן הסוג המעורר את הקושי האנטי-רובני הקלאסי:</w:t>
      </w:r>
      <w:r w:rsidR="00F04D4A" w:rsidRPr="00106D3A">
        <w:rPr>
          <w:rStyle w:val="FootnoteReference"/>
          <w:sz w:val="24"/>
          <w:rtl/>
        </w:rPr>
        <w:footnoteReference w:id="2"/>
      </w:r>
      <w:r w:rsidRPr="00106D3A">
        <w:rPr>
          <w:rFonts w:hint="cs"/>
          <w:sz w:val="24"/>
          <w:rtl/>
        </w:rPr>
        <w:t xml:space="preserve"> </w:t>
      </w:r>
      <w:r w:rsidR="00D87CF7" w:rsidRPr="00106D3A">
        <w:rPr>
          <w:rFonts w:hint="cs"/>
          <w:sz w:val="24"/>
          <w:rtl/>
        </w:rPr>
        <w:t xml:space="preserve">מצב בו </w:t>
      </w:r>
      <w:r w:rsidR="005B7E66" w:rsidRPr="00106D3A">
        <w:rPr>
          <w:rFonts w:hint="cs"/>
          <w:sz w:val="24"/>
          <w:rtl/>
        </w:rPr>
        <w:t>ל</w:t>
      </w:r>
      <w:r w:rsidR="00A86F18" w:rsidRPr="00106D3A">
        <w:rPr>
          <w:rFonts w:hint="cs"/>
          <w:sz w:val="24"/>
          <w:rtl/>
        </w:rPr>
        <w:t>שופטים ספו</w:t>
      </w:r>
      <w:r w:rsidR="00D87CF7" w:rsidRPr="00106D3A">
        <w:rPr>
          <w:rFonts w:hint="cs"/>
          <w:sz w:val="24"/>
          <w:rtl/>
        </w:rPr>
        <w:t>ּ</w:t>
      </w:r>
      <w:r w:rsidR="00A86F18" w:rsidRPr="00106D3A">
        <w:rPr>
          <w:rFonts w:hint="cs"/>
          <w:sz w:val="24"/>
          <w:rtl/>
        </w:rPr>
        <w:t xml:space="preserve">רים (שאינם נבחרים) </w:t>
      </w:r>
      <w:r w:rsidR="005B7E66" w:rsidRPr="00106D3A">
        <w:rPr>
          <w:rFonts w:hint="cs"/>
          <w:sz w:val="24"/>
          <w:rtl/>
        </w:rPr>
        <w:t xml:space="preserve">ניתן הכוח </w:t>
      </w:r>
      <w:r w:rsidR="00A86F18" w:rsidRPr="00106D3A">
        <w:rPr>
          <w:rFonts w:hint="cs"/>
          <w:sz w:val="24"/>
          <w:rtl/>
        </w:rPr>
        <w:t xml:space="preserve">לבטל את </w:t>
      </w:r>
      <w:r w:rsidR="008147C6" w:rsidRPr="00106D3A">
        <w:rPr>
          <w:rFonts w:hint="cs"/>
          <w:sz w:val="24"/>
          <w:rtl/>
        </w:rPr>
        <w:t xml:space="preserve">הכרעת הרוב של </w:t>
      </w:r>
      <w:r w:rsidR="00A86F18" w:rsidRPr="00106D3A">
        <w:rPr>
          <w:rFonts w:hint="cs"/>
          <w:sz w:val="24"/>
          <w:rtl/>
        </w:rPr>
        <w:t>הנציגים הנבחרים של העם-הריבון, המתבטא</w:t>
      </w:r>
      <w:r w:rsidR="008147C6" w:rsidRPr="00106D3A">
        <w:rPr>
          <w:rFonts w:hint="cs"/>
          <w:sz w:val="24"/>
          <w:rtl/>
        </w:rPr>
        <w:t>ת</w:t>
      </w:r>
      <w:r w:rsidR="00A86F18" w:rsidRPr="00106D3A">
        <w:rPr>
          <w:rFonts w:hint="cs"/>
          <w:sz w:val="24"/>
          <w:rtl/>
        </w:rPr>
        <w:t xml:space="preserve"> במעשה החקיקה. </w:t>
      </w:r>
    </w:p>
    <w:p w:rsidR="00716454" w:rsidRPr="00106D3A" w:rsidRDefault="000E680F" w:rsidP="006038C7">
      <w:pPr>
        <w:ind w:firstLine="720"/>
        <w:jc w:val="both"/>
        <w:rPr>
          <w:sz w:val="24"/>
          <w:rtl/>
        </w:rPr>
      </w:pPr>
      <w:r w:rsidRPr="00106D3A">
        <w:rPr>
          <w:rFonts w:hint="cs"/>
          <w:b/>
          <w:bCs/>
          <w:sz w:val="24"/>
          <w:rtl/>
        </w:rPr>
        <w:t>ביקורת שיפוטית ביזורית</w:t>
      </w:r>
      <w:r w:rsidRPr="00106D3A">
        <w:rPr>
          <w:rFonts w:hint="cs"/>
          <w:sz w:val="24"/>
          <w:rtl/>
        </w:rPr>
        <w:t xml:space="preserve">. </w:t>
      </w:r>
      <w:r w:rsidR="0014386E" w:rsidRPr="00106D3A">
        <w:rPr>
          <w:rFonts w:hint="cs"/>
          <w:sz w:val="24"/>
          <w:rtl/>
        </w:rPr>
        <w:t>בשיטות של ביקורת שיפוטית ביזורית סמכות הביקורת השיפוטית נתונה לכל ערכאה שיפוטית במערכת.</w:t>
      </w:r>
      <w:bookmarkStart w:id="3" w:name="_Ref365893526"/>
      <w:r w:rsidR="006D0460" w:rsidRPr="00106D3A">
        <w:rPr>
          <w:rStyle w:val="FootnoteReference"/>
          <w:sz w:val="24"/>
          <w:rtl/>
        </w:rPr>
        <w:footnoteReference w:id="3"/>
      </w:r>
      <w:bookmarkEnd w:id="3"/>
      <w:r w:rsidR="0014386E" w:rsidRPr="00106D3A">
        <w:rPr>
          <w:rFonts w:hint="cs"/>
          <w:sz w:val="24"/>
          <w:rtl/>
        </w:rPr>
        <w:t xml:space="preserve"> </w:t>
      </w:r>
      <w:r w:rsidR="00FC5EED" w:rsidRPr="00106D3A">
        <w:rPr>
          <w:rFonts w:hint="cs"/>
          <w:sz w:val="24"/>
          <w:rtl/>
        </w:rPr>
        <w:t xml:space="preserve">ככל פעולה אחרת של פרשנות שיפוטית, גם החלטות בדבר חוקתיותו </w:t>
      </w:r>
      <w:r w:rsidR="00D164B8" w:rsidRPr="00106D3A">
        <w:rPr>
          <w:sz w:val="24"/>
          <w:rtl/>
        </w:rPr>
        <w:t>–</w:t>
      </w:r>
      <w:r w:rsidR="00D164B8" w:rsidRPr="00106D3A">
        <w:rPr>
          <w:rFonts w:hint="cs"/>
          <w:sz w:val="24"/>
          <w:rtl/>
        </w:rPr>
        <w:t xml:space="preserve"> או אי-חוקתיותו </w:t>
      </w:r>
      <w:r w:rsidR="00D164B8" w:rsidRPr="00106D3A">
        <w:rPr>
          <w:sz w:val="24"/>
          <w:rtl/>
        </w:rPr>
        <w:t>–</w:t>
      </w:r>
      <w:r w:rsidR="00D164B8" w:rsidRPr="00106D3A">
        <w:rPr>
          <w:rFonts w:hint="cs"/>
          <w:sz w:val="24"/>
          <w:rtl/>
        </w:rPr>
        <w:t xml:space="preserve"> </w:t>
      </w:r>
      <w:r w:rsidR="00FC5EED" w:rsidRPr="00106D3A">
        <w:rPr>
          <w:rFonts w:hint="cs"/>
          <w:sz w:val="24"/>
          <w:rtl/>
        </w:rPr>
        <w:t xml:space="preserve">של דבר חקיקה ראשית </w:t>
      </w:r>
      <w:r w:rsidR="00D164B8" w:rsidRPr="00106D3A">
        <w:rPr>
          <w:rFonts w:hint="cs"/>
          <w:sz w:val="24"/>
          <w:rtl/>
        </w:rPr>
        <w:t>נעשו</w:t>
      </w:r>
      <w:r w:rsidR="005D5A70" w:rsidRPr="00106D3A">
        <w:rPr>
          <w:rFonts w:hint="cs"/>
          <w:sz w:val="24"/>
          <w:rtl/>
        </w:rPr>
        <w:t>ת על-ידי ערכאת הדיון הראשונה,</w:t>
      </w:r>
      <w:r w:rsidR="004A56FF" w:rsidRPr="00106D3A">
        <w:rPr>
          <w:rFonts w:hint="cs"/>
          <w:sz w:val="24"/>
          <w:rtl/>
        </w:rPr>
        <w:t xml:space="preserve"> וה</w:t>
      </w:r>
      <w:r w:rsidR="00365976" w:rsidRPr="00106D3A">
        <w:rPr>
          <w:rFonts w:hint="cs"/>
          <w:sz w:val="24"/>
          <w:rtl/>
        </w:rPr>
        <w:t>ן</w:t>
      </w:r>
      <w:r w:rsidR="004A56FF" w:rsidRPr="00106D3A">
        <w:rPr>
          <w:rFonts w:hint="cs"/>
          <w:sz w:val="24"/>
          <w:rtl/>
        </w:rPr>
        <w:t xml:space="preserve"> </w:t>
      </w:r>
      <w:r w:rsidR="00365976" w:rsidRPr="00106D3A">
        <w:rPr>
          <w:rFonts w:hint="cs"/>
          <w:sz w:val="24"/>
          <w:rtl/>
        </w:rPr>
        <w:t>עשויות</w:t>
      </w:r>
      <w:r w:rsidR="006909DC" w:rsidRPr="00106D3A">
        <w:rPr>
          <w:rFonts w:hint="cs"/>
          <w:sz w:val="24"/>
          <w:rtl/>
        </w:rPr>
        <w:t xml:space="preserve"> לטפס במעלה</w:t>
      </w:r>
      <w:r w:rsidR="005D5A70" w:rsidRPr="00106D3A">
        <w:rPr>
          <w:rFonts w:hint="cs"/>
          <w:sz w:val="24"/>
          <w:rtl/>
        </w:rPr>
        <w:t xml:space="preserve"> ההיררכיה השיפוטית ולהיבחן גם על ידי הערכאות הגבוהות </w:t>
      </w:r>
      <w:r w:rsidR="00C8307D" w:rsidRPr="00106D3A">
        <w:rPr>
          <w:rFonts w:hint="cs"/>
          <w:sz w:val="24"/>
          <w:rtl/>
        </w:rPr>
        <w:t xml:space="preserve">בהתאם לדיני הערעור הרגילים. </w:t>
      </w:r>
      <w:r w:rsidR="00EF49A7" w:rsidRPr="00106D3A">
        <w:rPr>
          <w:rFonts w:hint="cs"/>
          <w:sz w:val="24"/>
          <w:rtl/>
        </w:rPr>
        <w:t>בה בעת, שוב בדומה להכרעות משפטיות אחרות של ערכאות ראשונות, תחולתה של הביקורת השיפוטית המתבצעת על ידי ערכאת הדיון היא בין הצדדים בלבד (</w:t>
      </w:r>
      <w:r w:rsidR="00EF49A7" w:rsidRPr="00106D3A">
        <w:rPr>
          <w:sz w:val="24"/>
        </w:rPr>
        <w:t xml:space="preserve">inter </w:t>
      </w:r>
      <w:proofErr w:type="spellStart"/>
      <w:r w:rsidR="00EF49A7" w:rsidRPr="00106D3A">
        <w:rPr>
          <w:sz w:val="24"/>
        </w:rPr>
        <w:t>partes</w:t>
      </w:r>
      <w:proofErr w:type="spellEnd"/>
      <w:r w:rsidR="00EF49A7" w:rsidRPr="00106D3A">
        <w:rPr>
          <w:rFonts w:hint="cs"/>
          <w:sz w:val="24"/>
          <w:rtl/>
        </w:rPr>
        <w:t xml:space="preserve">) ואינה חלה על מקרים אחרים שלא נדונו באותו משפט. </w:t>
      </w:r>
      <w:r w:rsidR="00294353" w:rsidRPr="00106D3A">
        <w:rPr>
          <w:rFonts w:hint="cs"/>
          <w:sz w:val="24"/>
          <w:rtl/>
        </w:rPr>
        <w:t xml:space="preserve">המשמעות היא שחוק ש"בוטל" בהחלטתה של ערכאת דיון ממשיך לעמוד בתוקפו ביחס למקרים אחרים </w:t>
      </w:r>
      <w:r w:rsidR="00BC2A53" w:rsidRPr="00106D3A">
        <w:rPr>
          <w:rFonts w:hint="cs"/>
          <w:sz w:val="24"/>
          <w:rtl/>
        </w:rPr>
        <w:t xml:space="preserve">שעשויים לבוא </w:t>
      </w:r>
      <w:r w:rsidR="001D738F" w:rsidRPr="00106D3A">
        <w:rPr>
          <w:rFonts w:hint="cs"/>
          <w:sz w:val="24"/>
          <w:rtl/>
        </w:rPr>
        <w:t>ל</w:t>
      </w:r>
      <w:r w:rsidR="00BC2A53" w:rsidRPr="00106D3A">
        <w:rPr>
          <w:rFonts w:hint="cs"/>
          <w:sz w:val="24"/>
          <w:rtl/>
        </w:rPr>
        <w:t>פני בתי המשפט בהמשך.</w:t>
      </w:r>
      <w:r w:rsidR="001B671C">
        <w:rPr>
          <w:rFonts w:hint="cs"/>
          <w:sz w:val="24"/>
          <w:rtl/>
        </w:rPr>
        <w:t xml:space="preserve"> </w:t>
      </w:r>
    </w:p>
    <w:p w:rsidR="00901A3D" w:rsidRPr="00106D3A" w:rsidRDefault="00716454" w:rsidP="00FF1109">
      <w:pPr>
        <w:ind w:firstLine="720"/>
        <w:jc w:val="both"/>
        <w:rPr>
          <w:sz w:val="24"/>
          <w:rtl/>
        </w:rPr>
      </w:pPr>
      <w:r w:rsidRPr="00106D3A">
        <w:rPr>
          <w:rFonts w:hint="cs"/>
          <w:sz w:val="24"/>
          <w:rtl/>
        </w:rPr>
        <w:t xml:space="preserve">שיטות של ביקורת שיפוטית ביזורית מכירות אפוא באופן עקרוני בהיתכנות של שדה חוקתי מפוצל </w:t>
      </w:r>
      <w:r w:rsidRPr="00106D3A">
        <w:rPr>
          <w:sz w:val="24"/>
          <w:rtl/>
        </w:rPr>
        <w:t>–</w:t>
      </w:r>
      <w:r w:rsidRPr="00106D3A">
        <w:rPr>
          <w:rFonts w:hint="cs"/>
          <w:sz w:val="24"/>
          <w:rtl/>
        </w:rPr>
        <w:t xml:space="preserve"> </w:t>
      </w:r>
      <w:r w:rsidR="00893EA6" w:rsidRPr="00106D3A">
        <w:rPr>
          <w:rFonts w:hint="cs"/>
          <w:sz w:val="24"/>
          <w:rtl/>
        </w:rPr>
        <w:t xml:space="preserve">מצב </w:t>
      </w:r>
      <w:r w:rsidRPr="00106D3A">
        <w:rPr>
          <w:rFonts w:hint="cs"/>
          <w:sz w:val="24"/>
          <w:rtl/>
        </w:rPr>
        <w:t>בו שאלת חוקתיות</w:t>
      </w:r>
      <w:r w:rsidR="008309F6" w:rsidRPr="00106D3A">
        <w:rPr>
          <w:rFonts w:hint="cs"/>
          <w:sz w:val="24"/>
          <w:rtl/>
        </w:rPr>
        <w:t>ו</w:t>
      </w:r>
      <w:r w:rsidRPr="00106D3A">
        <w:rPr>
          <w:rFonts w:hint="cs"/>
          <w:sz w:val="24"/>
          <w:rtl/>
        </w:rPr>
        <w:t xml:space="preserve"> של ח</w:t>
      </w:r>
      <w:r w:rsidR="008309F6" w:rsidRPr="00106D3A">
        <w:rPr>
          <w:rFonts w:hint="cs"/>
          <w:sz w:val="24"/>
          <w:rtl/>
        </w:rPr>
        <w:t>ו</w:t>
      </w:r>
      <w:r w:rsidRPr="00106D3A">
        <w:rPr>
          <w:rFonts w:hint="cs"/>
          <w:sz w:val="24"/>
          <w:rtl/>
        </w:rPr>
        <w:t>ק</w:t>
      </w:r>
      <w:r w:rsidR="008309F6" w:rsidRPr="00106D3A">
        <w:rPr>
          <w:rFonts w:hint="cs"/>
          <w:sz w:val="24"/>
          <w:rtl/>
        </w:rPr>
        <w:t xml:space="preserve"> </w:t>
      </w:r>
      <w:r w:rsidR="00EB0EF7" w:rsidRPr="00106D3A">
        <w:rPr>
          <w:rFonts w:hint="cs"/>
          <w:sz w:val="24"/>
          <w:rtl/>
        </w:rPr>
        <w:t xml:space="preserve">נתון </w:t>
      </w:r>
      <w:r w:rsidRPr="00106D3A">
        <w:rPr>
          <w:rFonts w:hint="cs"/>
          <w:sz w:val="24"/>
          <w:rtl/>
        </w:rPr>
        <w:t xml:space="preserve">נענית בדרכים שונות </w:t>
      </w:r>
      <w:r w:rsidR="00893EA6" w:rsidRPr="00106D3A">
        <w:rPr>
          <w:rFonts w:hint="cs"/>
          <w:sz w:val="24"/>
          <w:rtl/>
        </w:rPr>
        <w:t xml:space="preserve">על ידי ערכאות שונות, כך שהחוק חל במקרים מסוימים ואינו חל באחרים. במצבים כאלה, </w:t>
      </w:r>
      <w:r w:rsidR="005D6F8C" w:rsidRPr="00106D3A">
        <w:rPr>
          <w:rFonts w:hint="cs"/>
          <w:sz w:val="24"/>
          <w:rtl/>
        </w:rPr>
        <w:t xml:space="preserve">הכרעה </w:t>
      </w:r>
      <w:r w:rsidR="00A86AE7" w:rsidRPr="00106D3A">
        <w:rPr>
          <w:rFonts w:hint="cs"/>
          <w:sz w:val="24"/>
          <w:rtl/>
        </w:rPr>
        <w:t xml:space="preserve">שיפוטית </w:t>
      </w:r>
      <w:r w:rsidR="005D6F8C" w:rsidRPr="00106D3A">
        <w:rPr>
          <w:rFonts w:hint="cs"/>
          <w:sz w:val="24"/>
          <w:rtl/>
        </w:rPr>
        <w:t>סופית באשר לחוקתיות</w:t>
      </w:r>
      <w:r w:rsidR="005B51D7" w:rsidRPr="00106D3A">
        <w:rPr>
          <w:rFonts w:hint="cs"/>
          <w:sz w:val="24"/>
          <w:rtl/>
        </w:rPr>
        <w:t>ה של הנורמה</w:t>
      </w:r>
      <w:r w:rsidR="005D6F8C" w:rsidRPr="00106D3A">
        <w:rPr>
          <w:rFonts w:hint="cs"/>
          <w:sz w:val="24"/>
          <w:rtl/>
        </w:rPr>
        <w:t xml:space="preserve"> תתקבל רק אם וכאשר העניין יגיע בערעור אל בית המשפט העליון, שהחל</w:t>
      </w:r>
      <w:r w:rsidR="003D785D">
        <w:rPr>
          <w:rFonts w:hint="cs"/>
          <w:sz w:val="24"/>
          <w:rtl/>
        </w:rPr>
        <w:t>טתו מגובה במנגנון התקדים המחייב.</w:t>
      </w:r>
      <w:r w:rsidR="00AE7576" w:rsidRPr="00106D3A">
        <w:rPr>
          <w:rStyle w:val="FootnoteReference"/>
          <w:sz w:val="24"/>
          <w:rtl/>
        </w:rPr>
        <w:footnoteReference w:id="4"/>
      </w:r>
      <w:r w:rsidR="005D6F8C" w:rsidRPr="00106D3A">
        <w:rPr>
          <w:rFonts w:hint="cs"/>
          <w:sz w:val="24"/>
          <w:rtl/>
        </w:rPr>
        <w:t xml:space="preserve"> </w:t>
      </w:r>
      <w:r w:rsidR="003D785D">
        <w:rPr>
          <w:rFonts w:hint="cs"/>
          <w:rtl/>
        </w:rPr>
        <w:t xml:space="preserve">לעתים החלטה תקדימית בעלת היקף </w:t>
      </w:r>
      <w:r w:rsidR="00FF1109">
        <w:rPr>
          <w:rFonts w:hint="cs"/>
          <w:rtl/>
        </w:rPr>
        <w:t>חלקי</w:t>
      </w:r>
      <w:r w:rsidR="003D785D">
        <w:rPr>
          <w:rFonts w:hint="cs"/>
          <w:rtl/>
        </w:rPr>
        <w:t xml:space="preserve"> יכולה להתקבל עוד לפני שבית המשפט העליון נדרש לשאלה </w:t>
      </w:r>
      <w:r w:rsidR="003D785D">
        <w:rPr>
          <w:rtl/>
        </w:rPr>
        <w:t>–</w:t>
      </w:r>
      <w:r w:rsidR="003D785D">
        <w:rPr>
          <w:rFonts w:hint="cs"/>
          <w:rtl/>
        </w:rPr>
        <w:t xml:space="preserve"> בשיטות בהן קיימת ערכאת ביניים </w:t>
      </w:r>
      <w:proofErr w:type="spellStart"/>
      <w:r w:rsidR="003D785D">
        <w:rPr>
          <w:rFonts w:hint="cs"/>
          <w:rtl/>
        </w:rPr>
        <w:t>ערעורית</w:t>
      </w:r>
      <w:proofErr w:type="spellEnd"/>
      <w:r w:rsidR="003D785D">
        <w:rPr>
          <w:rFonts w:hint="cs"/>
          <w:rtl/>
        </w:rPr>
        <w:t xml:space="preserve"> כמו ה-</w:t>
      </w:r>
      <w:r w:rsidR="003D785D">
        <w:t>circuit courts</w:t>
      </w:r>
      <w:r w:rsidR="003D785D">
        <w:rPr>
          <w:rFonts w:hint="cs"/>
          <w:rtl/>
        </w:rPr>
        <w:t xml:space="preserve"> בשיטה הפדראלית האמריקאית</w:t>
      </w:r>
      <w:r w:rsidR="003D785D">
        <w:rPr>
          <w:rFonts w:hint="cs"/>
          <w:sz w:val="24"/>
          <w:rtl/>
        </w:rPr>
        <w:t>.</w:t>
      </w:r>
      <w:r w:rsidR="00412D99">
        <w:rPr>
          <w:rStyle w:val="FootnoteReference"/>
          <w:sz w:val="24"/>
          <w:rtl/>
        </w:rPr>
        <w:footnoteReference w:id="5"/>
      </w:r>
      <w:r w:rsidR="003D785D">
        <w:rPr>
          <w:rFonts w:hint="cs"/>
          <w:sz w:val="24"/>
          <w:rtl/>
        </w:rPr>
        <w:t xml:space="preserve"> </w:t>
      </w:r>
      <w:r w:rsidR="00DF519D" w:rsidRPr="00106D3A">
        <w:rPr>
          <w:rFonts w:hint="cs"/>
          <w:sz w:val="24"/>
          <w:rtl/>
        </w:rPr>
        <w:t>אתייחס בהרחבה לנושא זה בהמשך, אך ראוי לציין כבר עתה שזה אינו מצב ייחודי מאוד: מחלוקות פרשניות בין ערכאות הדיון תיתכנה במגוון של תחומים וסוגיות (כמו משמעותה של נורמה חוקית או חוזית, אפיון התנהגות כלשהי כרשלנית, או רמת הענישה הראויה לעבי</w:t>
      </w:r>
      <w:r w:rsidR="00BC0064" w:rsidRPr="00106D3A">
        <w:rPr>
          <w:rFonts w:hint="cs"/>
          <w:sz w:val="24"/>
          <w:rtl/>
        </w:rPr>
        <w:t>ר</w:t>
      </w:r>
      <w:r w:rsidR="00DF519D" w:rsidRPr="00106D3A">
        <w:rPr>
          <w:rFonts w:hint="cs"/>
          <w:sz w:val="24"/>
          <w:rtl/>
        </w:rPr>
        <w:t xml:space="preserve">ה מסוימת). </w:t>
      </w:r>
      <w:r w:rsidR="0053389B" w:rsidRPr="00106D3A">
        <w:rPr>
          <w:rFonts w:hint="cs"/>
          <w:sz w:val="24"/>
          <w:rtl/>
        </w:rPr>
        <w:t xml:space="preserve">כל מערכת משפט מבוזרת </w:t>
      </w:r>
      <w:r w:rsidR="0053389B" w:rsidRPr="00106D3A">
        <w:rPr>
          <w:sz w:val="24"/>
          <w:rtl/>
        </w:rPr>
        <w:t>–</w:t>
      </w:r>
      <w:r w:rsidR="0053389B" w:rsidRPr="00106D3A">
        <w:rPr>
          <w:rFonts w:hint="cs"/>
          <w:sz w:val="24"/>
          <w:rtl/>
        </w:rPr>
        <w:t xml:space="preserve"> כלומר כל מערכת בה יש יותר מבית משפט אחד, ולמעשה יותר משופט אחד </w:t>
      </w:r>
      <w:r w:rsidR="0053389B" w:rsidRPr="00106D3A">
        <w:rPr>
          <w:sz w:val="24"/>
          <w:rtl/>
        </w:rPr>
        <w:t>–</w:t>
      </w:r>
      <w:r w:rsidR="0053389B" w:rsidRPr="00106D3A">
        <w:rPr>
          <w:rFonts w:hint="cs"/>
          <w:sz w:val="24"/>
          <w:rtl/>
        </w:rPr>
        <w:t xml:space="preserve"> מאופיינת על כן באופן אינהרנטי בתקופות של פיצול ושל אי-ודאות נורמטיביים, במהלכן מקרים דומים מקבלים יחס שיפוטי שונה. </w:t>
      </w:r>
      <w:r w:rsidR="002F7A96" w:rsidRPr="00106D3A">
        <w:rPr>
          <w:rFonts w:hint="cs"/>
          <w:sz w:val="24"/>
          <w:rtl/>
        </w:rPr>
        <w:t>תופעות אלה נפתרות</w:t>
      </w:r>
      <w:r w:rsidR="0053389B" w:rsidRPr="00106D3A">
        <w:rPr>
          <w:rFonts w:hint="cs"/>
          <w:sz w:val="24"/>
          <w:rtl/>
        </w:rPr>
        <w:t xml:space="preserve"> לאורך זמן בין בפסיקה מחייבת של בית משפט עליון, ובי</w:t>
      </w:r>
      <w:r w:rsidR="00A86AE7" w:rsidRPr="00106D3A">
        <w:rPr>
          <w:rFonts w:hint="cs"/>
          <w:sz w:val="24"/>
          <w:rtl/>
        </w:rPr>
        <w:t xml:space="preserve">ן בתיקון חקיקתי שמסדיר מחדש את </w:t>
      </w:r>
      <w:r w:rsidR="0053389B" w:rsidRPr="00106D3A">
        <w:rPr>
          <w:rFonts w:hint="cs"/>
          <w:sz w:val="24"/>
          <w:rtl/>
        </w:rPr>
        <w:t xml:space="preserve">הסוגיה. </w:t>
      </w:r>
    </w:p>
    <w:p w:rsidR="00062F22" w:rsidRPr="00106D3A" w:rsidRDefault="00062F22" w:rsidP="005A730B">
      <w:pPr>
        <w:ind w:firstLine="720"/>
        <w:jc w:val="both"/>
        <w:rPr>
          <w:sz w:val="24"/>
          <w:rtl/>
        </w:rPr>
      </w:pPr>
      <w:r w:rsidRPr="00106D3A">
        <w:rPr>
          <w:rFonts w:hint="cs"/>
          <w:sz w:val="24"/>
          <w:rtl/>
        </w:rPr>
        <w:lastRenderedPageBreak/>
        <w:t xml:space="preserve">בנוף ההשוואתי, השיטה הביזורית המוכרת </w:t>
      </w:r>
      <w:r w:rsidR="00842EF4" w:rsidRPr="00106D3A">
        <w:rPr>
          <w:rFonts w:hint="cs"/>
          <w:sz w:val="24"/>
          <w:rtl/>
        </w:rPr>
        <w:t>ב</w:t>
      </w:r>
      <w:r w:rsidRPr="00106D3A">
        <w:rPr>
          <w:rFonts w:hint="cs"/>
          <w:sz w:val="24"/>
          <w:rtl/>
        </w:rPr>
        <w:t xml:space="preserve">יותר היא גם השיטה הוותיקה ביותר המפעילה ביקורת שיפוטית </w:t>
      </w:r>
      <w:r w:rsidRPr="00106D3A">
        <w:rPr>
          <w:sz w:val="24"/>
          <w:rtl/>
        </w:rPr>
        <w:t>–</w:t>
      </w:r>
      <w:r w:rsidRPr="00106D3A">
        <w:rPr>
          <w:rFonts w:hint="cs"/>
          <w:sz w:val="24"/>
          <w:rtl/>
        </w:rPr>
        <w:t xml:space="preserve"> ארצות הברית. </w:t>
      </w:r>
      <w:r w:rsidR="00402211" w:rsidRPr="00106D3A">
        <w:rPr>
          <w:rFonts w:hint="cs"/>
          <w:sz w:val="24"/>
          <w:rtl/>
        </w:rPr>
        <w:t xml:space="preserve">כיום גם </w:t>
      </w:r>
      <w:r w:rsidR="00B41039" w:rsidRPr="00106D3A">
        <w:rPr>
          <w:rFonts w:hint="cs"/>
          <w:sz w:val="24"/>
          <w:rtl/>
        </w:rPr>
        <w:t>מדינות אחרות מקיימות אותה, כמו קנדה והודו,</w:t>
      </w:r>
      <w:r w:rsidR="00402211" w:rsidRPr="00106D3A">
        <w:rPr>
          <w:rFonts w:hint="cs"/>
          <w:sz w:val="24"/>
          <w:rtl/>
        </w:rPr>
        <w:t xml:space="preserve"> וכפי שנראה, במובנים מסוימים גם ישראל. </w:t>
      </w:r>
    </w:p>
    <w:p w:rsidR="00722953" w:rsidRPr="00106D3A" w:rsidRDefault="005F0737" w:rsidP="003765A5">
      <w:pPr>
        <w:ind w:firstLine="720"/>
        <w:jc w:val="both"/>
        <w:rPr>
          <w:sz w:val="24"/>
          <w:rtl/>
        </w:rPr>
      </w:pPr>
      <w:r w:rsidRPr="00106D3A">
        <w:rPr>
          <w:rFonts w:hint="cs"/>
          <w:b/>
          <w:bCs/>
          <w:sz w:val="24"/>
          <w:rtl/>
        </w:rPr>
        <w:t>ביקורת שיפוטית ריכוזית</w:t>
      </w:r>
      <w:r w:rsidRPr="00106D3A">
        <w:rPr>
          <w:rFonts w:hint="cs"/>
          <w:sz w:val="24"/>
          <w:rtl/>
        </w:rPr>
        <w:t xml:space="preserve">. </w:t>
      </w:r>
      <w:r w:rsidR="00331C82" w:rsidRPr="00106D3A">
        <w:rPr>
          <w:rFonts w:hint="cs"/>
          <w:sz w:val="24"/>
          <w:rtl/>
        </w:rPr>
        <w:t>שיטות של ביקורת שיפוטית ריכוזית מפקידות את סמכות הביקורת השיפוטית בידי ערכאה אחת שמומחיותה בפרשנות החוקה.</w:t>
      </w:r>
      <w:bookmarkStart w:id="4" w:name="_Ref373311900"/>
      <w:r w:rsidR="009936B4" w:rsidRPr="00106D3A">
        <w:rPr>
          <w:rStyle w:val="FootnoteReference"/>
          <w:sz w:val="24"/>
          <w:rtl/>
        </w:rPr>
        <w:footnoteReference w:id="6"/>
      </w:r>
      <w:bookmarkEnd w:id="4"/>
      <w:r w:rsidR="00331C82" w:rsidRPr="00106D3A">
        <w:rPr>
          <w:rFonts w:hint="cs"/>
          <w:sz w:val="24"/>
          <w:rtl/>
        </w:rPr>
        <w:t xml:space="preserve"> </w:t>
      </w:r>
      <w:r w:rsidR="00AF187F" w:rsidRPr="00106D3A">
        <w:rPr>
          <w:rFonts w:hint="cs"/>
          <w:sz w:val="24"/>
          <w:rtl/>
        </w:rPr>
        <w:t xml:space="preserve">בשיטות אלה, לערכאות הדיון אין סמכות להכריע בדבר תוקפה של חקיקה ראשית. </w:t>
      </w:r>
      <w:r w:rsidR="00A34BD2" w:rsidRPr="00106D3A">
        <w:rPr>
          <w:rFonts w:hint="cs"/>
          <w:sz w:val="24"/>
          <w:rtl/>
        </w:rPr>
        <w:t xml:space="preserve">במקום זאת הן כוללות הסדרים דיוניים המבטיחים ששאלות חוקתיות יתועלו ישירות לערכאה החוקתית הריכוזית </w:t>
      </w:r>
      <w:r w:rsidR="00A34BD2" w:rsidRPr="00106D3A">
        <w:rPr>
          <w:sz w:val="24"/>
          <w:rtl/>
        </w:rPr>
        <w:t>–</w:t>
      </w:r>
      <w:r w:rsidR="00A34BD2" w:rsidRPr="00106D3A">
        <w:rPr>
          <w:rFonts w:hint="cs"/>
          <w:sz w:val="24"/>
          <w:rtl/>
        </w:rPr>
        <w:t xml:space="preserve"> בין באמצעות עת</w:t>
      </w:r>
      <w:r w:rsidR="00E66095" w:rsidRPr="00106D3A">
        <w:rPr>
          <w:rFonts w:hint="cs"/>
          <w:sz w:val="24"/>
          <w:rtl/>
        </w:rPr>
        <w:t>ירות ישירות, ובין באמצעות הפנייה</w:t>
      </w:r>
      <w:r w:rsidR="00A34BD2" w:rsidRPr="00106D3A">
        <w:rPr>
          <w:rFonts w:hint="cs"/>
          <w:sz w:val="24"/>
          <w:rtl/>
        </w:rPr>
        <w:t xml:space="preserve"> </w:t>
      </w:r>
      <w:r w:rsidR="00E66095" w:rsidRPr="00106D3A">
        <w:rPr>
          <w:rFonts w:hint="cs"/>
          <w:sz w:val="24"/>
          <w:rtl/>
        </w:rPr>
        <w:t>בסגנון "</w:t>
      </w:r>
      <w:proofErr w:type="spellStart"/>
      <w:r w:rsidR="00E66095" w:rsidRPr="00106D3A">
        <w:rPr>
          <w:rFonts w:hint="cs"/>
          <w:sz w:val="24"/>
          <w:rtl/>
        </w:rPr>
        <w:t>אבעיה</w:t>
      </w:r>
      <w:proofErr w:type="spellEnd"/>
      <w:r w:rsidR="00E66095" w:rsidRPr="00106D3A">
        <w:rPr>
          <w:rFonts w:hint="cs"/>
          <w:sz w:val="24"/>
          <w:rtl/>
        </w:rPr>
        <w:t>"</w:t>
      </w:r>
      <w:r w:rsidR="00A34BD2" w:rsidRPr="00106D3A">
        <w:rPr>
          <w:rFonts w:hint="cs"/>
          <w:sz w:val="24"/>
          <w:rtl/>
        </w:rPr>
        <w:t xml:space="preserve"> </w:t>
      </w:r>
      <w:r w:rsidR="003B7C30" w:rsidRPr="00106D3A">
        <w:rPr>
          <w:rFonts w:hint="cs"/>
          <w:sz w:val="24"/>
          <w:rtl/>
        </w:rPr>
        <w:t>(</w:t>
      </w:r>
      <w:proofErr w:type="spellStart"/>
      <w:r w:rsidR="003B7C30" w:rsidRPr="00106D3A">
        <w:rPr>
          <w:sz w:val="24"/>
        </w:rPr>
        <w:t>renvoi</w:t>
      </w:r>
      <w:proofErr w:type="spellEnd"/>
      <w:r w:rsidR="00C04349" w:rsidRPr="00106D3A">
        <w:rPr>
          <w:rFonts w:hint="cs"/>
          <w:sz w:val="24"/>
          <w:rtl/>
        </w:rPr>
        <w:t xml:space="preserve">, </w:t>
      </w:r>
      <w:r w:rsidR="00C04349" w:rsidRPr="00106D3A">
        <w:rPr>
          <w:sz w:val="24"/>
        </w:rPr>
        <w:t>certification</w:t>
      </w:r>
      <w:r w:rsidR="003B7C30" w:rsidRPr="00106D3A">
        <w:rPr>
          <w:rFonts w:hint="cs"/>
          <w:sz w:val="24"/>
          <w:rtl/>
        </w:rPr>
        <w:t xml:space="preserve">) </w:t>
      </w:r>
      <w:r w:rsidR="00E66095" w:rsidRPr="00106D3A">
        <w:rPr>
          <w:rFonts w:hint="cs"/>
          <w:sz w:val="24"/>
          <w:rtl/>
        </w:rPr>
        <w:t xml:space="preserve">של </w:t>
      </w:r>
      <w:r w:rsidR="00A34BD2" w:rsidRPr="00106D3A">
        <w:rPr>
          <w:rFonts w:hint="cs"/>
          <w:sz w:val="24"/>
          <w:rtl/>
        </w:rPr>
        <w:t xml:space="preserve">שאלות בנושאי תוקף חוקתי </w:t>
      </w:r>
      <w:r w:rsidR="003765A5" w:rsidRPr="00106D3A">
        <w:rPr>
          <w:rFonts w:hint="cs"/>
          <w:sz w:val="24"/>
          <w:rtl/>
        </w:rPr>
        <w:t>ה</w:t>
      </w:r>
      <w:r w:rsidR="00A34BD2" w:rsidRPr="00106D3A">
        <w:rPr>
          <w:rFonts w:hint="cs"/>
          <w:sz w:val="24"/>
          <w:rtl/>
        </w:rPr>
        <w:t xml:space="preserve">מתעוררות </w:t>
      </w:r>
      <w:r w:rsidR="00E66095" w:rsidRPr="00106D3A">
        <w:rPr>
          <w:rFonts w:hint="cs"/>
          <w:sz w:val="24"/>
          <w:rtl/>
        </w:rPr>
        <w:t>במסגרת</w:t>
      </w:r>
      <w:r w:rsidR="00A34BD2" w:rsidRPr="00106D3A">
        <w:rPr>
          <w:rFonts w:hint="cs"/>
          <w:sz w:val="24"/>
          <w:rtl/>
        </w:rPr>
        <w:t xml:space="preserve"> ההליך בערכאת הדיון לפסיקתה של הערכאה החוקתית. </w:t>
      </w:r>
      <w:r w:rsidR="00220EB1" w:rsidRPr="00106D3A">
        <w:rPr>
          <w:rFonts w:hint="cs"/>
          <w:sz w:val="24"/>
          <w:rtl/>
        </w:rPr>
        <w:t xml:space="preserve">כל עוד לא הכריעה הערכאה החוקתית בשאלת התוקף של החוק השנוי במחלוקת, יתר הערכאות (כמו רשויות השלטון האחרות) נדרשות להניח שהחוק תקף.  </w:t>
      </w:r>
    </w:p>
    <w:p w:rsidR="005F0737" w:rsidRPr="00106D3A" w:rsidRDefault="00EB40F4" w:rsidP="004E063F">
      <w:pPr>
        <w:ind w:firstLine="720"/>
        <w:jc w:val="both"/>
        <w:rPr>
          <w:sz w:val="24"/>
          <w:rtl/>
        </w:rPr>
      </w:pPr>
      <w:r w:rsidRPr="00106D3A">
        <w:rPr>
          <w:rFonts w:hint="cs"/>
          <w:sz w:val="24"/>
          <w:rtl/>
        </w:rPr>
        <w:t>ביקורת שיפוטית ריכוזית יכולה להתבצע בידי בית המשפט העליון, המכהן גם כערכאה החוקתית של השיטה. תופעה נפוצה יותר עם זאת בשיטות ריכוזיות היא הפקדת סמכות הביקורת השיפוטית בידי טריבונל חוקתי נפרד, שהנו חיצוני לשדרת השפיטה הרגילה, וכל סמכותו ומומחיותו בסוגיות חוקתיות (פעמים רבות מדובר לא רק בשאלות של תוקף חוקתי אלא גם, למשל, בנושאים כמו הסדרת מערכת הבחירות).</w:t>
      </w:r>
      <w:r w:rsidR="00DB1EFF" w:rsidRPr="00106D3A">
        <w:rPr>
          <w:rStyle w:val="FootnoteReference"/>
          <w:sz w:val="24"/>
          <w:rtl/>
        </w:rPr>
        <w:footnoteReference w:id="7"/>
      </w:r>
      <w:r w:rsidRPr="00106D3A">
        <w:rPr>
          <w:rFonts w:hint="cs"/>
          <w:sz w:val="24"/>
          <w:rtl/>
        </w:rPr>
        <w:t xml:space="preserve"> </w:t>
      </w:r>
      <w:r w:rsidR="00B57938" w:rsidRPr="00106D3A">
        <w:rPr>
          <w:rFonts w:hint="cs"/>
          <w:sz w:val="24"/>
          <w:rtl/>
        </w:rPr>
        <w:t>ערכאות חוקתיות</w:t>
      </w:r>
      <w:r w:rsidR="007F2017" w:rsidRPr="00106D3A">
        <w:rPr>
          <w:rFonts w:hint="cs"/>
          <w:sz w:val="24"/>
          <w:rtl/>
        </w:rPr>
        <w:t xml:space="preserve"> כאלה מחזיק</w:t>
      </w:r>
      <w:r w:rsidR="00B57938" w:rsidRPr="00106D3A">
        <w:rPr>
          <w:rFonts w:hint="cs"/>
          <w:sz w:val="24"/>
          <w:rtl/>
        </w:rPr>
        <w:t>ות</w:t>
      </w:r>
      <w:r w:rsidR="007F2017" w:rsidRPr="00106D3A">
        <w:rPr>
          <w:rFonts w:hint="cs"/>
          <w:sz w:val="24"/>
          <w:rtl/>
        </w:rPr>
        <w:t xml:space="preserve"> אמנם מאפיינים רבים של "בית משפט</w:t>
      </w:r>
      <w:r w:rsidR="00B57938" w:rsidRPr="00106D3A">
        <w:rPr>
          <w:rFonts w:hint="cs"/>
          <w:sz w:val="24"/>
          <w:rtl/>
        </w:rPr>
        <w:t>", אך לא אחת ההליכים הנהוגים בהן</w:t>
      </w:r>
      <w:r w:rsidR="007F2017" w:rsidRPr="00106D3A">
        <w:rPr>
          <w:rFonts w:hint="cs"/>
          <w:sz w:val="24"/>
          <w:rtl/>
        </w:rPr>
        <w:t xml:space="preserve"> </w:t>
      </w:r>
      <w:r w:rsidR="00A86513" w:rsidRPr="00106D3A">
        <w:rPr>
          <w:rFonts w:hint="cs"/>
          <w:sz w:val="24"/>
          <w:rtl/>
        </w:rPr>
        <w:t>והאופי</w:t>
      </w:r>
      <w:r w:rsidR="007F2017" w:rsidRPr="00106D3A">
        <w:rPr>
          <w:rFonts w:hint="cs"/>
          <w:sz w:val="24"/>
          <w:rtl/>
        </w:rPr>
        <w:t xml:space="preserve"> </w:t>
      </w:r>
      <w:r w:rsidR="002E71B8" w:rsidRPr="00106D3A">
        <w:rPr>
          <w:rFonts w:hint="cs"/>
          <w:sz w:val="24"/>
          <w:rtl/>
        </w:rPr>
        <w:t xml:space="preserve">של </w:t>
      </w:r>
      <w:r w:rsidR="00B57938" w:rsidRPr="00106D3A">
        <w:rPr>
          <w:rFonts w:hint="cs"/>
          <w:sz w:val="24"/>
          <w:rtl/>
        </w:rPr>
        <w:t>שופטיהן</w:t>
      </w:r>
      <w:r w:rsidR="007F2017" w:rsidRPr="00106D3A">
        <w:rPr>
          <w:rFonts w:hint="cs"/>
          <w:sz w:val="24"/>
          <w:rtl/>
        </w:rPr>
        <w:t xml:space="preserve"> נבדלים מאלה שבבתי משפט רגילים, והם עשויים למשל לכלול היבטים פוליטיים </w:t>
      </w:r>
      <w:r w:rsidR="002E71B8" w:rsidRPr="00106D3A">
        <w:rPr>
          <w:rFonts w:hint="cs"/>
          <w:sz w:val="24"/>
          <w:rtl/>
        </w:rPr>
        <w:t xml:space="preserve">או ייצוגיים </w:t>
      </w:r>
      <w:r w:rsidR="007F2017" w:rsidRPr="00106D3A">
        <w:rPr>
          <w:rFonts w:hint="cs"/>
          <w:sz w:val="24"/>
          <w:rtl/>
        </w:rPr>
        <w:t xml:space="preserve">מובהקים הן </w:t>
      </w:r>
      <w:r w:rsidR="004E063F" w:rsidRPr="00106D3A">
        <w:rPr>
          <w:rFonts w:hint="cs"/>
          <w:sz w:val="24"/>
          <w:rtl/>
        </w:rPr>
        <w:t xml:space="preserve">בתנאי האיוש והן </w:t>
      </w:r>
      <w:r w:rsidR="007F2017" w:rsidRPr="00106D3A">
        <w:rPr>
          <w:rFonts w:hint="cs"/>
          <w:sz w:val="24"/>
          <w:rtl/>
        </w:rPr>
        <w:t>בהליך המינוי.</w:t>
      </w:r>
      <w:r w:rsidR="00836603" w:rsidRPr="00106D3A">
        <w:rPr>
          <w:rStyle w:val="FootnoteReference"/>
          <w:sz w:val="24"/>
          <w:rtl/>
        </w:rPr>
        <w:footnoteReference w:id="8"/>
      </w:r>
      <w:r w:rsidR="007F2017" w:rsidRPr="00106D3A">
        <w:rPr>
          <w:rFonts w:hint="cs"/>
          <w:sz w:val="24"/>
          <w:rtl/>
        </w:rPr>
        <w:t xml:space="preserve"> </w:t>
      </w:r>
    </w:p>
    <w:p w:rsidR="00722953" w:rsidRPr="00106D3A" w:rsidRDefault="00722953" w:rsidP="00626374">
      <w:pPr>
        <w:ind w:firstLine="720"/>
        <w:jc w:val="both"/>
        <w:rPr>
          <w:sz w:val="24"/>
          <w:rtl/>
        </w:rPr>
      </w:pPr>
      <w:r w:rsidRPr="00106D3A">
        <w:rPr>
          <w:rFonts w:hint="cs"/>
          <w:sz w:val="24"/>
          <w:rtl/>
        </w:rPr>
        <w:t xml:space="preserve">בניגוד לגישה הביזורית, ביקורת שיפוטית ריכוזית פועלת בשיטה של "אחת ולתמיד" </w:t>
      </w:r>
      <w:r w:rsidRPr="00106D3A">
        <w:rPr>
          <w:sz w:val="24"/>
          <w:rtl/>
        </w:rPr>
        <w:t>–</w:t>
      </w:r>
      <w:r w:rsidRPr="00106D3A">
        <w:rPr>
          <w:rFonts w:hint="cs"/>
          <w:sz w:val="24"/>
          <w:rtl/>
        </w:rPr>
        <w:t xml:space="preserve"> כל שאלה חוקתית מגיעה בפני הערכאה החוקתית </w:t>
      </w:r>
      <w:r w:rsidR="00C8307D" w:rsidRPr="00106D3A">
        <w:rPr>
          <w:rFonts w:hint="cs"/>
          <w:sz w:val="24"/>
          <w:rtl/>
        </w:rPr>
        <w:t>בעקרון פעם אחת</w:t>
      </w:r>
      <w:r w:rsidR="00A34DD4" w:rsidRPr="00106D3A">
        <w:rPr>
          <w:rFonts w:hint="cs"/>
          <w:sz w:val="24"/>
          <w:rtl/>
        </w:rPr>
        <w:t xml:space="preserve"> בלבד</w:t>
      </w:r>
      <w:r w:rsidR="00C8307D" w:rsidRPr="00106D3A">
        <w:rPr>
          <w:rFonts w:hint="cs"/>
          <w:sz w:val="24"/>
          <w:rtl/>
        </w:rPr>
        <w:t xml:space="preserve">, וההכרעה שניתנת חלה באופן מיידי וגורף על כל רשויות השלטון. </w:t>
      </w:r>
      <w:r w:rsidR="005D060A" w:rsidRPr="00106D3A">
        <w:rPr>
          <w:rFonts w:hint="cs"/>
          <w:sz w:val="24"/>
          <w:rtl/>
        </w:rPr>
        <w:t>מנקודת המבט של בעלי הד</w:t>
      </w:r>
      <w:r w:rsidR="00C76CE7" w:rsidRPr="00106D3A">
        <w:rPr>
          <w:rFonts w:hint="cs"/>
          <w:sz w:val="24"/>
          <w:rtl/>
        </w:rPr>
        <w:t>ין</w:t>
      </w:r>
      <w:r w:rsidR="003B1B81" w:rsidRPr="00106D3A">
        <w:rPr>
          <w:rFonts w:hint="cs"/>
          <w:sz w:val="24"/>
          <w:rtl/>
        </w:rPr>
        <w:t xml:space="preserve"> התוקפים חוקתיותו של חוק, הליך בפני </w:t>
      </w:r>
      <w:r w:rsidR="00C76CE7" w:rsidRPr="00106D3A">
        <w:rPr>
          <w:rFonts w:hint="cs"/>
          <w:sz w:val="24"/>
          <w:rtl/>
        </w:rPr>
        <w:t>בית המשפט החוקתי הו</w:t>
      </w:r>
      <w:r w:rsidR="005D060A" w:rsidRPr="00106D3A">
        <w:rPr>
          <w:rFonts w:hint="cs"/>
          <w:sz w:val="24"/>
          <w:rtl/>
        </w:rPr>
        <w:t xml:space="preserve">א </w:t>
      </w:r>
      <w:r w:rsidR="00626374" w:rsidRPr="00106D3A">
        <w:rPr>
          <w:rFonts w:hint="cs"/>
          <w:sz w:val="24"/>
          <w:rtl/>
        </w:rPr>
        <w:t xml:space="preserve">לכן </w:t>
      </w:r>
      <w:r w:rsidR="003B1B81" w:rsidRPr="00106D3A">
        <w:rPr>
          <w:rFonts w:hint="cs"/>
          <w:sz w:val="24"/>
          <w:rtl/>
        </w:rPr>
        <w:t xml:space="preserve">בדרך כלל </w:t>
      </w:r>
      <w:r w:rsidR="005D060A" w:rsidRPr="00106D3A">
        <w:rPr>
          <w:rFonts w:hint="cs"/>
          <w:sz w:val="24"/>
          <w:rtl/>
        </w:rPr>
        <w:t>משחק "על כל הקופה"</w:t>
      </w:r>
      <w:r w:rsidR="003B1B81" w:rsidRPr="00106D3A">
        <w:rPr>
          <w:rFonts w:hint="cs"/>
          <w:sz w:val="24"/>
          <w:rtl/>
        </w:rPr>
        <w:t>, כי נ</w:t>
      </w:r>
      <w:r w:rsidR="00C172C5" w:rsidRPr="00106D3A">
        <w:rPr>
          <w:rFonts w:hint="cs"/>
          <w:sz w:val="24"/>
          <w:rtl/>
        </w:rPr>
        <w:t>י</w:t>
      </w:r>
      <w:r w:rsidR="003B1B81" w:rsidRPr="00106D3A">
        <w:rPr>
          <w:rFonts w:hint="cs"/>
          <w:sz w:val="24"/>
          <w:rtl/>
        </w:rPr>
        <w:t>צחון משמעותו ביטול החוק כלפי כולי עלמא (</w:t>
      </w:r>
      <w:proofErr w:type="spellStart"/>
      <w:r w:rsidR="003B1B81" w:rsidRPr="00106D3A">
        <w:rPr>
          <w:sz w:val="24"/>
        </w:rPr>
        <w:t>erga</w:t>
      </w:r>
      <w:proofErr w:type="spellEnd"/>
      <w:r w:rsidR="003B1B81" w:rsidRPr="00106D3A">
        <w:rPr>
          <w:sz w:val="24"/>
        </w:rPr>
        <w:t xml:space="preserve"> </w:t>
      </w:r>
      <w:proofErr w:type="spellStart"/>
      <w:r w:rsidR="003B1B81" w:rsidRPr="00106D3A">
        <w:rPr>
          <w:sz w:val="24"/>
        </w:rPr>
        <w:t>omnes</w:t>
      </w:r>
      <w:proofErr w:type="spellEnd"/>
      <w:r w:rsidR="003B1B81" w:rsidRPr="00106D3A">
        <w:rPr>
          <w:rFonts w:hint="cs"/>
          <w:sz w:val="24"/>
          <w:rtl/>
        </w:rPr>
        <w:t xml:space="preserve">) בעוד הפסד משמעותו קביעה סופית כי החוק תקף. </w:t>
      </w:r>
      <w:r w:rsidR="005D060A" w:rsidRPr="00106D3A">
        <w:rPr>
          <w:rFonts w:hint="cs"/>
          <w:sz w:val="24"/>
          <w:rtl/>
        </w:rPr>
        <w:t xml:space="preserve"> </w:t>
      </w:r>
    </w:p>
    <w:p w:rsidR="00E374D4" w:rsidRPr="00106D3A" w:rsidRDefault="00C172C5" w:rsidP="00515F55">
      <w:pPr>
        <w:ind w:firstLine="720"/>
        <w:jc w:val="both"/>
        <w:rPr>
          <w:sz w:val="24"/>
          <w:rtl/>
        </w:rPr>
      </w:pPr>
      <w:r w:rsidRPr="00106D3A">
        <w:rPr>
          <w:rFonts w:hint="cs"/>
          <w:sz w:val="24"/>
          <w:rtl/>
        </w:rPr>
        <w:t xml:space="preserve">המודל הריכוזי של ביקורת שיפוטית </w:t>
      </w:r>
      <w:r w:rsidR="00626374" w:rsidRPr="00106D3A">
        <w:rPr>
          <w:rFonts w:hint="cs"/>
          <w:sz w:val="24"/>
          <w:rtl/>
        </w:rPr>
        <w:t>מופיע</w:t>
      </w:r>
      <w:r w:rsidR="00E82D1A" w:rsidRPr="00106D3A">
        <w:rPr>
          <w:rFonts w:hint="cs"/>
          <w:sz w:val="24"/>
          <w:rtl/>
        </w:rPr>
        <w:t xml:space="preserve"> </w:t>
      </w:r>
      <w:r w:rsidR="00626374" w:rsidRPr="00106D3A">
        <w:rPr>
          <w:rFonts w:hint="cs"/>
          <w:sz w:val="24"/>
          <w:rtl/>
        </w:rPr>
        <w:t>ב</w:t>
      </w:r>
      <w:r w:rsidR="00D035C8" w:rsidRPr="00106D3A">
        <w:rPr>
          <w:rFonts w:hint="cs"/>
          <w:sz w:val="24"/>
          <w:rtl/>
        </w:rPr>
        <w:t xml:space="preserve">רבות ממדינות הקונטיננט באירופה, כמו גם </w:t>
      </w:r>
      <w:r w:rsidR="0070178E" w:rsidRPr="00106D3A">
        <w:rPr>
          <w:rFonts w:hint="cs"/>
          <w:sz w:val="24"/>
          <w:rtl/>
        </w:rPr>
        <w:t>ב</w:t>
      </w:r>
      <w:r w:rsidR="00D035C8" w:rsidRPr="00106D3A">
        <w:rPr>
          <w:rFonts w:hint="cs"/>
          <w:sz w:val="24"/>
          <w:rtl/>
        </w:rPr>
        <w:t>רבות מהדמוקרטיות החוקתיות החדשות של העשורים האחרונים</w:t>
      </w:r>
      <w:r w:rsidR="00E82D1A" w:rsidRPr="00106D3A">
        <w:rPr>
          <w:rFonts w:hint="cs"/>
          <w:sz w:val="24"/>
          <w:rtl/>
        </w:rPr>
        <w:t xml:space="preserve"> ברחבי העולם</w:t>
      </w:r>
      <w:r w:rsidR="0070178E" w:rsidRPr="00106D3A">
        <w:rPr>
          <w:rFonts w:hint="cs"/>
          <w:sz w:val="24"/>
          <w:rtl/>
        </w:rPr>
        <w:t xml:space="preserve"> (במזרח אירופה, בדרום אמריקה ובדרום-מזרח אסיה)</w:t>
      </w:r>
      <w:r w:rsidR="00D035C8" w:rsidRPr="00106D3A">
        <w:rPr>
          <w:rFonts w:hint="cs"/>
          <w:sz w:val="24"/>
          <w:rtl/>
        </w:rPr>
        <w:t xml:space="preserve">. </w:t>
      </w:r>
      <w:r w:rsidR="009C34F6" w:rsidRPr="00106D3A">
        <w:rPr>
          <w:rFonts w:hint="cs"/>
          <w:sz w:val="24"/>
          <w:rtl/>
        </w:rPr>
        <w:t>החוקה האוסטרית</w:t>
      </w:r>
      <w:r w:rsidR="00E82D1A" w:rsidRPr="00106D3A">
        <w:rPr>
          <w:rFonts w:hint="cs"/>
          <w:sz w:val="24"/>
          <w:rtl/>
        </w:rPr>
        <w:t xml:space="preserve"> של טרום-מלחמת העולם </w:t>
      </w:r>
      <w:proofErr w:type="spellStart"/>
      <w:r w:rsidR="00E82D1A" w:rsidRPr="00106D3A">
        <w:rPr>
          <w:rFonts w:hint="cs"/>
          <w:sz w:val="24"/>
          <w:rtl/>
        </w:rPr>
        <w:t>השניה</w:t>
      </w:r>
      <w:proofErr w:type="spellEnd"/>
      <w:r w:rsidR="00E82D1A" w:rsidRPr="00106D3A">
        <w:rPr>
          <w:rFonts w:hint="cs"/>
          <w:sz w:val="24"/>
          <w:rtl/>
        </w:rPr>
        <w:t xml:space="preserve"> </w:t>
      </w:r>
      <w:proofErr w:type="spellStart"/>
      <w:r w:rsidR="0069680A" w:rsidRPr="00106D3A">
        <w:rPr>
          <w:rFonts w:hint="cs"/>
          <w:sz w:val="24"/>
          <w:rtl/>
        </w:rPr>
        <w:t>היתה</w:t>
      </w:r>
      <w:proofErr w:type="spellEnd"/>
      <w:r w:rsidR="0069680A" w:rsidRPr="00106D3A">
        <w:rPr>
          <w:rFonts w:hint="cs"/>
          <w:sz w:val="24"/>
          <w:rtl/>
        </w:rPr>
        <w:t xml:space="preserve"> הראשונה להציג </w:t>
      </w:r>
      <w:r w:rsidR="00E82D1A" w:rsidRPr="00106D3A">
        <w:rPr>
          <w:rFonts w:hint="cs"/>
          <w:sz w:val="24"/>
          <w:rtl/>
        </w:rPr>
        <w:t>בית משפט חוקתי, שהוגדר על ידי מנסח החוקה</w:t>
      </w:r>
      <w:r w:rsidR="009C34F6" w:rsidRPr="00106D3A">
        <w:rPr>
          <w:rFonts w:hint="cs"/>
          <w:sz w:val="24"/>
          <w:rtl/>
        </w:rPr>
        <w:t xml:space="preserve"> ואחד משופטיו הראשונים</w:t>
      </w:r>
      <w:r w:rsidR="00E82D1A" w:rsidRPr="00106D3A">
        <w:rPr>
          <w:rFonts w:hint="cs"/>
          <w:sz w:val="24"/>
          <w:rtl/>
        </w:rPr>
        <w:t xml:space="preserve">, הנס </w:t>
      </w:r>
      <w:proofErr w:type="spellStart"/>
      <w:r w:rsidR="00E82D1A" w:rsidRPr="00106D3A">
        <w:rPr>
          <w:rFonts w:hint="cs"/>
          <w:sz w:val="24"/>
          <w:rtl/>
        </w:rPr>
        <w:t>קלזן</w:t>
      </w:r>
      <w:proofErr w:type="spellEnd"/>
      <w:r w:rsidR="009C34F6" w:rsidRPr="00106D3A">
        <w:rPr>
          <w:rFonts w:hint="cs"/>
          <w:sz w:val="24"/>
          <w:rtl/>
        </w:rPr>
        <w:t>,</w:t>
      </w:r>
      <w:r w:rsidR="00E82D1A" w:rsidRPr="00106D3A">
        <w:rPr>
          <w:rFonts w:hint="cs"/>
          <w:sz w:val="24"/>
          <w:rtl/>
        </w:rPr>
        <w:t xml:space="preserve"> כ"</w:t>
      </w:r>
      <w:r w:rsidR="00515F55" w:rsidRPr="00106D3A">
        <w:rPr>
          <w:rFonts w:hint="cs"/>
          <w:sz w:val="24"/>
          <w:rtl/>
        </w:rPr>
        <w:t>מחוקק שלילי</w:t>
      </w:r>
      <w:r w:rsidR="00E82D1A" w:rsidRPr="00106D3A">
        <w:rPr>
          <w:rFonts w:hint="cs"/>
          <w:sz w:val="24"/>
          <w:rtl/>
        </w:rPr>
        <w:t>"</w:t>
      </w:r>
      <w:r w:rsidR="009C34F6" w:rsidRPr="00106D3A">
        <w:rPr>
          <w:rFonts w:hint="cs"/>
          <w:sz w:val="24"/>
          <w:rtl/>
        </w:rPr>
        <w:t>.</w:t>
      </w:r>
      <w:r w:rsidR="000D7FE1" w:rsidRPr="00106D3A">
        <w:rPr>
          <w:rStyle w:val="FootnoteReference"/>
          <w:sz w:val="24"/>
          <w:rtl/>
        </w:rPr>
        <w:footnoteReference w:id="9"/>
      </w:r>
      <w:r w:rsidR="009C34F6" w:rsidRPr="00106D3A">
        <w:rPr>
          <w:rFonts w:hint="cs"/>
          <w:sz w:val="24"/>
          <w:rtl/>
        </w:rPr>
        <w:t xml:space="preserve"> </w:t>
      </w:r>
      <w:r w:rsidR="000D7FE1" w:rsidRPr="00106D3A">
        <w:rPr>
          <w:rFonts w:hint="cs"/>
          <w:sz w:val="24"/>
          <w:rtl/>
        </w:rPr>
        <w:t>כיום</w:t>
      </w:r>
      <w:r w:rsidR="00E374D4" w:rsidRPr="00106D3A">
        <w:rPr>
          <w:rFonts w:hint="cs"/>
          <w:sz w:val="24"/>
          <w:rtl/>
        </w:rPr>
        <w:t xml:space="preserve"> זו כבר תופעה נפוצה יותר, ושיטות ריכוזיות </w:t>
      </w:r>
      <w:r w:rsidR="00E374D4" w:rsidRPr="00106D3A">
        <w:rPr>
          <w:sz w:val="24"/>
          <w:rtl/>
        </w:rPr>
        <w:t>–</w:t>
      </w:r>
      <w:r w:rsidR="00E374D4" w:rsidRPr="00106D3A">
        <w:rPr>
          <w:rFonts w:hint="cs"/>
          <w:sz w:val="24"/>
          <w:rtl/>
        </w:rPr>
        <w:t xml:space="preserve"> המבוססות בין בבית המשפט העליון ובין בבית משפט חוקתי </w:t>
      </w:r>
      <w:r w:rsidR="00E374D4" w:rsidRPr="00106D3A">
        <w:rPr>
          <w:sz w:val="24"/>
          <w:rtl/>
        </w:rPr>
        <w:t>–</w:t>
      </w:r>
      <w:r w:rsidR="00E374D4" w:rsidRPr="00106D3A">
        <w:rPr>
          <w:rFonts w:hint="cs"/>
          <w:sz w:val="24"/>
          <w:rtl/>
        </w:rPr>
        <w:t xml:space="preserve"> נמצאות </w:t>
      </w:r>
      <w:r w:rsidR="006479BD" w:rsidRPr="00106D3A">
        <w:rPr>
          <w:rFonts w:hint="cs"/>
          <w:sz w:val="24"/>
          <w:rtl/>
        </w:rPr>
        <w:t xml:space="preserve">למשל </w:t>
      </w:r>
      <w:r w:rsidR="00E374D4" w:rsidRPr="00106D3A">
        <w:rPr>
          <w:rFonts w:hint="cs"/>
          <w:sz w:val="24"/>
          <w:rtl/>
        </w:rPr>
        <w:t xml:space="preserve">בגרמניה, </w:t>
      </w:r>
      <w:r w:rsidR="006479BD" w:rsidRPr="00106D3A">
        <w:rPr>
          <w:rFonts w:hint="cs"/>
          <w:sz w:val="24"/>
          <w:rtl/>
        </w:rPr>
        <w:t>ב</w:t>
      </w:r>
      <w:r w:rsidR="00E374D4" w:rsidRPr="00106D3A">
        <w:rPr>
          <w:rFonts w:hint="cs"/>
          <w:sz w:val="24"/>
          <w:rtl/>
        </w:rPr>
        <w:t xml:space="preserve">דרום אפריקה, </w:t>
      </w:r>
      <w:r w:rsidR="006479BD" w:rsidRPr="00106D3A">
        <w:rPr>
          <w:rFonts w:hint="cs"/>
          <w:sz w:val="24"/>
          <w:rtl/>
        </w:rPr>
        <w:t>ב</w:t>
      </w:r>
      <w:r w:rsidR="004F5E83" w:rsidRPr="00106D3A">
        <w:rPr>
          <w:rFonts w:hint="cs"/>
          <w:sz w:val="24"/>
          <w:rtl/>
        </w:rPr>
        <w:t>ספרד</w:t>
      </w:r>
      <w:r w:rsidR="0059137A" w:rsidRPr="00106D3A">
        <w:rPr>
          <w:rFonts w:hint="cs"/>
          <w:sz w:val="24"/>
          <w:rtl/>
        </w:rPr>
        <w:t xml:space="preserve"> וב</w:t>
      </w:r>
      <w:r w:rsidR="006479BD" w:rsidRPr="00106D3A">
        <w:rPr>
          <w:rFonts w:hint="cs"/>
          <w:sz w:val="24"/>
          <w:rtl/>
        </w:rPr>
        <w:t xml:space="preserve">איטליה. </w:t>
      </w:r>
    </w:p>
    <w:p w:rsidR="004A56FF" w:rsidRPr="00106D3A" w:rsidRDefault="004A56FF" w:rsidP="000111E9">
      <w:pPr>
        <w:jc w:val="both"/>
        <w:rPr>
          <w:sz w:val="24"/>
          <w:rtl/>
        </w:rPr>
      </w:pPr>
    </w:p>
    <w:p w:rsidR="000111E9" w:rsidRPr="00106D3A" w:rsidRDefault="00E974B1" w:rsidP="00D374A3">
      <w:pPr>
        <w:pStyle w:val="Heading2"/>
        <w:rPr>
          <w:rtl/>
        </w:rPr>
      </w:pPr>
      <w:bookmarkStart w:id="5" w:name="_Toc372223051"/>
      <w:r w:rsidRPr="00106D3A">
        <w:rPr>
          <w:rFonts w:hint="cs"/>
          <w:rtl/>
        </w:rPr>
        <w:t>על ביזורי</w:t>
      </w:r>
      <w:r w:rsidR="00DD648A" w:rsidRPr="00106D3A">
        <w:rPr>
          <w:rFonts w:hint="cs"/>
          <w:rtl/>
        </w:rPr>
        <w:t>ו</w:t>
      </w:r>
      <w:r w:rsidRPr="00106D3A">
        <w:rPr>
          <w:rFonts w:hint="cs"/>
          <w:rtl/>
        </w:rPr>
        <w:t>ת, ריכוזי</w:t>
      </w:r>
      <w:r w:rsidR="00DD648A" w:rsidRPr="00106D3A">
        <w:rPr>
          <w:rFonts w:hint="cs"/>
          <w:rtl/>
        </w:rPr>
        <w:t>ו</w:t>
      </w:r>
      <w:r w:rsidRPr="00106D3A">
        <w:rPr>
          <w:rFonts w:hint="cs"/>
          <w:rtl/>
        </w:rPr>
        <w:t xml:space="preserve">ת, </w:t>
      </w:r>
      <w:r w:rsidR="00DD648A" w:rsidRPr="00106D3A">
        <w:rPr>
          <w:rFonts w:hint="cs"/>
          <w:rtl/>
        </w:rPr>
        <w:t xml:space="preserve">תקיפה </w:t>
      </w:r>
      <w:r w:rsidRPr="00106D3A">
        <w:rPr>
          <w:rFonts w:hint="cs"/>
          <w:rtl/>
        </w:rPr>
        <w:t>עקיפה ו</w:t>
      </w:r>
      <w:r w:rsidR="00DD648A" w:rsidRPr="00106D3A">
        <w:rPr>
          <w:rFonts w:hint="cs"/>
          <w:rtl/>
        </w:rPr>
        <w:t xml:space="preserve">תקיפה </w:t>
      </w:r>
      <w:r w:rsidRPr="00106D3A">
        <w:rPr>
          <w:rFonts w:hint="cs"/>
          <w:rtl/>
        </w:rPr>
        <w:t>ישירה</w:t>
      </w:r>
      <w:bookmarkEnd w:id="5"/>
    </w:p>
    <w:p w:rsidR="00A70898" w:rsidRPr="00106D3A" w:rsidRDefault="0084690F" w:rsidP="0067537F">
      <w:pPr>
        <w:ind w:firstLine="720"/>
        <w:jc w:val="both"/>
        <w:rPr>
          <w:sz w:val="24"/>
          <w:rtl/>
        </w:rPr>
      </w:pPr>
      <w:r w:rsidRPr="00106D3A">
        <w:rPr>
          <w:rFonts w:hint="cs"/>
          <w:sz w:val="24"/>
          <w:rtl/>
        </w:rPr>
        <w:t xml:space="preserve">בספרות האקדמית מקובל לשלב את הדיון המוסדי בדבר ביקורת שיפוטית ביזורית וריכוזית, עם דיון מקביל, שהוא בעיקרו תורת-משפטי, בנושא ההבחנה בין תקיפה עקיפה ותקיפה </w:t>
      </w:r>
      <w:r w:rsidRPr="00106D3A">
        <w:rPr>
          <w:rFonts w:hint="cs"/>
          <w:sz w:val="24"/>
          <w:rtl/>
        </w:rPr>
        <w:lastRenderedPageBreak/>
        <w:t xml:space="preserve">ישירה של נורמות משפטיות. </w:t>
      </w:r>
      <w:r w:rsidR="00FC6B9B" w:rsidRPr="00106D3A">
        <w:rPr>
          <w:rFonts w:hint="cs"/>
          <w:sz w:val="24"/>
          <w:rtl/>
        </w:rPr>
        <w:t xml:space="preserve">המהלך המקובל נראה כך: </w:t>
      </w:r>
      <w:r w:rsidR="00DA0324" w:rsidRPr="00106D3A">
        <w:rPr>
          <w:rFonts w:hint="cs"/>
          <w:sz w:val="24"/>
          <w:rtl/>
        </w:rPr>
        <w:t>התומכים בביקורת שיפ</w:t>
      </w:r>
      <w:r w:rsidR="00FC6B9B" w:rsidRPr="00106D3A">
        <w:rPr>
          <w:rFonts w:hint="cs"/>
          <w:sz w:val="24"/>
          <w:rtl/>
        </w:rPr>
        <w:t xml:space="preserve">וטית ביזורית </w:t>
      </w:r>
      <w:r w:rsidR="00DA0324" w:rsidRPr="00106D3A">
        <w:rPr>
          <w:rFonts w:hint="cs"/>
          <w:sz w:val="24"/>
          <w:rtl/>
        </w:rPr>
        <w:t xml:space="preserve">נוהגים להצדיקה </w:t>
      </w:r>
      <w:r w:rsidR="00FC6B9B" w:rsidRPr="00106D3A">
        <w:rPr>
          <w:rFonts w:hint="cs"/>
          <w:sz w:val="24"/>
          <w:rtl/>
        </w:rPr>
        <w:t>בעמדה פילוסופית לפיה הנורמה החוקתית היא</w:t>
      </w:r>
      <w:r w:rsidR="00DA0324" w:rsidRPr="00106D3A">
        <w:rPr>
          <w:rFonts w:hint="cs"/>
          <w:sz w:val="24"/>
          <w:rtl/>
        </w:rPr>
        <w:t xml:space="preserve"> נורמה משפטית "רגילה", ולכן </w:t>
      </w:r>
      <w:r w:rsidR="00915BB2" w:rsidRPr="00106D3A">
        <w:rPr>
          <w:rFonts w:hint="cs"/>
          <w:sz w:val="24"/>
          <w:rtl/>
        </w:rPr>
        <w:t>פעולתה</w:t>
      </w:r>
      <w:r w:rsidR="00FC6B9B" w:rsidRPr="00106D3A">
        <w:rPr>
          <w:rFonts w:hint="cs"/>
          <w:sz w:val="24"/>
          <w:rtl/>
        </w:rPr>
        <w:t xml:space="preserve"> </w:t>
      </w:r>
      <w:r w:rsidR="00915BB2" w:rsidRPr="00106D3A">
        <w:rPr>
          <w:rFonts w:hint="cs"/>
          <w:sz w:val="24"/>
          <w:rtl/>
        </w:rPr>
        <w:t>זהה לזו של כל נורמה משפטית אחרת</w:t>
      </w:r>
      <w:r w:rsidR="004F5F6A" w:rsidRPr="00106D3A">
        <w:rPr>
          <w:rFonts w:hint="cs"/>
          <w:sz w:val="24"/>
          <w:rtl/>
        </w:rPr>
        <w:t xml:space="preserve">, כולל במצבים של סתירה בין נורמות </w:t>
      </w:r>
      <w:r w:rsidR="004F5F6A" w:rsidRPr="00106D3A">
        <w:rPr>
          <w:sz w:val="24"/>
          <w:rtl/>
        </w:rPr>
        <w:t>–</w:t>
      </w:r>
      <w:r w:rsidR="004F5F6A" w:rsidRPr="00106D3A">
        <w:rPr>
          <w:rFonts w:hint="cs"/>
          <w:sz w:val="24"/>
          <w:rtl/>
        </w:rPr>
        <w:t xml:space="preserve"> </w:t>
      </w:r>
      <w:r w:rsidR="00EB1BAC" w:rsidRPr="00106D3A">
        <w:rPr>
          <w:rFonts w:hint="cs"/>
          <w:sz w:val="24"/>
          <w:rtl/>
        </w:rPr>
        <w:t xml:space="preserve">למשל </w:t>
      </w:r>
      <w:r w:rsidR="004F5F6A" w:rsidRPr="00106D3A">
        <w:rPr>
          <w:rFonts w:hint="cs"/>
          <w:sz w:val="24"/>
          <w:rtl/>
        </w:rPr>
        <w:t>מוקדמת ומאוחרת, כללית וספציפית, וגם על</w:t>
      </w:r>
      <w:r w:rsidR="00E869D9" w:rsidRPr="00106D3A">
        <w:rPr>
          <w:rFonts w:hint="cs"/>
          <w:sz w:val="24"/>
          <w:rtl/>
        </w:rPr>
        <w:t>יונה לעומת נחותה</w:t>
      </w:r>
      <w:r w:rsidR="00915BB2" w:rsidRPr="00106D3A">
        <w:rPr>
          <w:rFonts w:hint="cs"/>
          <w:sz w:val="24"/>
          <w:rtl/>
        </w:rPr>
        <w:t xml:space="preserve">. </w:t>
      </w:r>
      <w:r w:rsidR="00EB1BAC" w:rsidRPr="00106D3A">
        <w:rPr>
          <w:rFonts w:hint="cs"/>
          <w:sz w:val="24"/>
          <w:rtl/>
        </w:rPr>
        <w:t xml:space="preserve">בתפיסה זו, חוק שאינו חוקתי הוא חוק בטל מעיקרו </w:t>
      </w:r>
      <w:r w:rsidR="00EB1BAC" w:rsidRPr="00106D3A">
        <w:rPr>
          <w:sz w:val="24"/>
          <w:rtl/>
        </w:rPr>
        <w:t>–</w:t>
      </w:r>
      <w:r w:rsidR="00EB1BAC" w:rsidRPr="00106D3A">
        <w:rPr>
          <w:rFonts w:hint="cs"/>
          <w:sz w:val="24"/>
          <w:rtl/>
        </w:rPr>
        <w:t xml:space="preserve"> למעשה הוא "אינו חוק</w:t>
      </w:r>
      <w:r w:rsidR="0067537F" w:rsidRPr="00106D3A">
        <w:rPr>
          <w:rFonts w:hint="cs"/>
          <w:sz w:val="24"/>
          <w:rtl/>
        </w:rPr>
        <w:t>"</w:t>
      </w:r>
      <w:r w:rsidR="00EB1BAC" w:rsidRPr="00106D3A">
        <w:rPr>
          <w:rFonts w:hint="cs"/>
          <w:sz w:val="24"/>
          <w:rtl/>
        </w:rPr>
        <w:t xml:space="preserve"> כלל</w:t>
      </w:r>
      <w:bookmarkStart w:id="6" w:name="_Ref365893547"/>
      <w:r w:rsidR="00E74272" w:rsidRPr="00106D3A">
        <w:rPr>
          <w:rStyle w:val="FootnoteReference"/>
          <w:sz w:val="24"/>
          <w:rtl/>
        </w:rPr>
        <w:footnoteReference w:id="10"/>
      </w:r>
      <w:bookmarkEnd w:id="6"/>
      <w:r w:rsidR="00EB1BAC" w:rsidRPr="00106D3A">
        <w:rPr>
          <w:rFonts w:hint="cs"/>
          <w:sz w:val="24"/>
          <w:rtl/>
        </w:rPr>
        <w:t xml:space="preserve"> </w:t>
      </w:r>
      <w:r w:rsidR="009D5755" w:rsidRPr="00106D3A">
        <w:rPr>
          <w:sz w:val="24"/>
          <w:rtl/>
        </w:rPr>
        <w:t>–</w:t>
      </w:r>
      <w:r w:rsidR="009D5755" w:rsidRPr="00106D3A">
        <w:rPr>
          <w:rFonts w:hint="cs"/>
          <w:sz w:val="24"/>
          <w:rtl/>
        </w:rPr>
        <w:t xml:space="preserve"> משום שהוא אינו מקיים </w:t>
      </w:r>
      <w:r w:rsidR="003D7AE2" w:rsidRPr="00106D3A">
        <w:rPr>
          <w:rFonts w:hint="cs"/>
          <w:sz w:val="24"/>
          <w:rtl/>
        </w:rPr>
        <w:t>את תנאי התוקף של המערכת המשפטית</w:t>
      </w:r>
      <w:r w:rsidR="009D5755" w:rsidRPr="00106D3A">
        <w:rPr>
          <w:rFonts w:hint="cs"/>
          <w:sz w:val="24"/>
          <w:rtl/>
        </w:rPr>
        <w:t xml:space="preserve">, שכוללים ציות להיררכיית הנורמות. </w:t>
      </w:r>
      <w:r w:rsidR="00517CFA" w:rsidRPr="00106D3A">
        <w:rPr>
          <w:rFonts w:hint="cs"/>
          <w:sz w:val="24"/>
          <w:rtl/>
        </w:rPr>
        <w:t xml:space="preserve">ואם כך הדבר, הרי שבטלות זו חלה בכל הליך </w:t>
      </w:r>
      <w:r w:rsidR="00E869D9" w:rsidRPr="00106D3A">
        <w:rPr>
          <w:rFonts w:hint="cs"/>
          <w:sz w:val="24"/>
          <w:rtl/>
        </w:rPr>
        <w:t>משפטי ובכל ערכאה שיפוטית</w:t>
      </w:r>
      <w:r w:rsidR="00A70898" w:rsidRPr="00106D3A">
        <w:rPr>
          <w:rFonts w:hint="cs"/>
          <w:sz w:val="24"/>
          <w:rtl/>
        </w:rPr>
        <w:t>.</w:t>
      </w:r>
      <w:r w:rsidR="00861CA0" w:rsidRPr="00106D3A">
        <w:rPr>
          <w:rStyle w:val="FootnoteReference"/>
          <w:sz w:val="24"/>
          <w:rtl/>
        </w:rPr>
        <w:footnoteReference w:id="11"/>
      </w:r>
      <w:r w:rsidR="00A70898" w:rsidRPr="00106D3A">
        <w:rPr>
          <w:rFonts w:hint="cs"/>
          <w:sz w:val="24"/>
          <w:rtl/>
        </w:rPr>
        <w:t xml:space="preserve"> ערכאות הדיון מוסמכות ומורגלות להכריע בשאלות של תוקף נורמטיבי, ומבחינה אנליטית אין כל הבדל בי</w:t>
      </w:r>
      <w:r w:rsidR="00127EF7" w:rsidRPr="00106D3A">
        <w:rPr>
          <w:rFonts w:hint="cs"/>
          <w:sz w:val="24"/>
          <w:rtl/>
        </w:rPr>
        <w:t>ן שאלות של תוקף חוקתי לשאלות פרשניות אחרות שמאפיינות את מלאכת השפיטה היומיומית.</w:t>
      </w:r>
      <w:r w:rsidR="00C85AE3" w:rsidRPr="00106D3A">
        <w:rPr>
          <w:rStyle w:val="FootnoteReference"/>
          <w:sz w:val="24"/>
          <w:rtl/>
        </w:rPr>
        <w:footnoteReference w:id="12"/>
      </w:r>
      <w:r w:rsidR="00A70898" w:rsidRPr="00106D3A">
        <w:rPr>
          <w:rFonts w:hint="cs"/>
          <w:sz w:val="24"/>
          <w:rtl/>
        </w:rPr>
        <w:t xml:space="preserve"> </w:t>
      </w:r>
      <w:r w:rsidR="005553C2" w:rsidRPr="00106D3A">
        <w:rPr>
          <w:rFonts w:hint="cs"/>
          <w:sz w:val="24"/>
          <w:rtl/>
        </w:rPr>
        <w:t xml:space="preserve">לבסוף, </w:t>
      </w:r>
      <w:r w:rsidR="00A70898" w:rsidRPr="00106D3A">
        <w:rPr>
          <w:rFonts w:hint="cs"/>
          <w:sz w:val="24"/>
          <w:rtl/>
        </w:rPr>
        <w:t xml:space="preserve">היות שבהליכים משפטיים טיפוסיים יוזם ההליך אמור לבסס את עילתו על דין תקף, הרי שטענה של סתירת חוק לחוקה תתעורר באופן טיפוסי כטענת הגנה </w:t>
      </w:r>
      <w:r w:rsidR="00BF3BEE" w:rsidRPr="00106D3A">
        <w:rPr>
          <w:rFonts w:hint="cs"/>
          <w:sz w:val="24"/>
          <w:rtl/>
        </w:rPr>
        <w:t xml:space="preserve">בה טוען </w:t>
      </w:r>
      <w:r w:rsidR="00A70898" w:rsidRPr="00106D3A">
        <w:rPr>
          <w:rFonts w:hint="cs"/>
          <w:sz w:val="24"/>
          <w:rtl/>
        </w:rPr>
        <w:t xml:space="preserve">המתגונן </w:t>
      </w:r>
      <w:r w:rsidR="00BF3BEE" w:rsidRPr="00106D3A">
        <w:rPr>
          <w:rFonts w:hint="cs"/>
          <w:sz w:val="24"/>
          <w:rtl/>
        </w:rPr>
        <w:t xml:space="preserve">שהחוק עליו מתבססת התביעה </w:t>
      </w:r>
      <w:r w:rsidR="00A70898" w:rsidRPr="00106D3A">
        <w:rPr>
          <w:rFonts w:hint="cs"/>
          <w:sz w:val="24"/>
          <w:rtl/>
        </w:rPr>
        <w:t xml:space="preserve">אינו תקף </w:t>
      </w:r>
      <w:r w:rsidR="00A70898" w:rsidRPr="00106D3A">
        <w:rPr>
          <w:sz w:val="24"/>
          <w:rtl/>
        </w:rPr>
        <w:t>–</w:t>
      </w:r>
      <w:r w:rsidR="00A70898" w:rsidRPr="00106D3A">
        <w:rPr>
          <w:rFonts w:hint="cs"/>
          <w:sz w:val="24"/>
          <w:rtl/>
        </w:rPr>
        <w:t xml:space="preserve"> כלומר במצבים של "תקיפה עקיפה".</w:t>
      </w:r>
    </w:p>
    <w:p w:rsidR="0071504D" w:rsidRPr="00106D3A" w:rsidRDefault="0054156F" w:rsidP="00D50A9E">
      <w:pPr>
        <w:ind w:firstLine="720"/>
        <w:jc w:val="both"/>
        <w:rPr>
          <w:sz w:val="24"/>
          <w:rtl/>
        </w:rPr>
      </w:pPr>
      <w:r w:rsidRPr="00106D3A">
        <w:rPr>
          <w:rFonts w:hint="cs"/>
          <w:sz w:val="24"/>
          <w:rtl/>
        </w:rPr>
        <w:t xml:space="preserve">לעומת זאת, לפי התפיסה המקובלת, </w:t>
      </w:r>
      <w:r w:rsidR="00EC116D" w:rsidRPr="00106D3A">
        <w:rPr>
          <w:rFonts w:hint="cs"/>
          <w:sz w:val="24"/>
          <w:rtl/>
        </w:rPr>
        <w:t xml:space="preserve">שיטות של ביקורת שיפוטית ריכוזית יוצאות מנקודת הנחה תורת-משפטית שונה ביחס למעמדן של נורמות חוקתיות. שיטות אלה, כך נטען, תופסות את הנורמה החוקתית כנורמה ייחודית, שיש לה גם היבטים משפטיים אך גם היבטים חוץ-משפטיים </w:t>
      </w:r>
      <w:r w:rsidR="00EC116D" w:rsidRPr="00106D3A">
        <w:rPr>
          <w:sz w:val="24"/>
          <w:rtl/>
        </w:rPr>
        <w:t>–</w:t>
      </w:r>
      <w:r w:rsidR="00EC116D" w:rsidRPr="00106D3A">
        <w:rPr>
          <w:rFonts w:hint="cs"/>
          <w:sz w:val="24"/>
          <w:rtl/>
        </w:rPr>
        <w:t xml:space="preserve"> מוסריים </w:t>
      </w:r>
      <w:r w:rsidR="004E6479" w:rsidRPr="00106D3A">
        <w:rPr>
          <w:rFonts w:hint="cs"/>
          <w:sz w:val="24"/>
          <w:rtl/>
        </w:rPr>
        <w:t>ו</w:t>
      </w:r>
      <w:r w:rsidR="00EC116D" w:rsidRPr="00106D3A">
        <w:rPr>
          <w:rFonts w:hint="cs"/>
          <w:sz w:val="24"/>
          <w:rtl/>
        </w:rPr>
        <w:t xml:space="preserve">פוליטיים. </w:t>
      </w:r>
      <w:r w:rsidR="003F6C4B" w:rsidRPr="00106D3A">
        <w:rPr>
          <w:rFonts w:hint="cs"/>
          <w:sz w:val="24"/>
          <w:rtl/>
        </w:rPr>
        <w:t xml:space="preserve">לכן </w:t>
      </w:r>
      <w:r w:rsidR="00C14977" w:rsidRPr="00106D3A">
        <w:rPr>
          <w:rFonts w:hint="cs"/>
          <w:sz w:val="24"/>
          <w:rtl/>
        </w:rPr>
        <w:t xml:space="preserve">כדי שהיא תוביל לבטלותו של חוק נדרשת פעולת ביטול אקטיבית, וזו </w:t>
      </w:r>
      <w:r w:rsidR="003F6C4B" w:rsidRPr="00106D3A">
        <w:rPr>
          <w:rFonts w:hint="cs"/>
          <w:sz w:val="24"/>
          <w:rtl/>
        </w:rPr>
        <w:t xml:space="preserve">אינה </w:t>
      </w:r>
      <w:r w:rsidR="00C14977" w:rsidRPr="00106D3A">
        <w:rPr>
          <w:rFonts w:hint="cs"/>
          <w:sz w:val="24"/>
          <w:rtl/>
        </w:rPr>
        <w:t xml:space="preserve">יכולה להתבצע </w:t>
      </w:r>
      <w:r w:rsidR="003F6C4B" w:rsidRPr="00106D3A">
        <w:rPr>
          <w:rFonts w:hint="cs"/>
          <w:sz w:val="24"/>
          <w:rtl/>
        </w:rPr>
        <w:t>במסגרת ההתדיינות המשפטית הרגילה</w:t>
      </w:r>
      <w:r w:rsidR="00C14977" w:rsidRPr="00106D3A">
        <w:rPr>
          <w:rFonts w:hint="cs"/>
          <w:sz w:val="24"/>
          <w:rtl/>
        </w:rPr>
        <w:t>;</w:t>
      </w:r>
      <w:r w:rsidR="003F6C4B" w:rsidRPr="00106D3A">
        <w:rPr>
          <w:rFonts w:hint="cs"/>
          <w:sz w:val="24"/>
          <w:rtl/>
        </w:rPr>
        <w:t xml:space="preserve"> נדרשת ערכאה </w:t>
      </w:r>
      <w:r w:rsidR="00C14977" w:rsidRPr="00106D3A">
        <w:rPr>
          <w:rFonts w:hint="cs"/>
          <w:sz w:val="24"/>
          <w:rtl/>
        </w:rPr>
        <w:t xml:space="preserve">ייחודית </w:t>
      </w:r>
      <w:r w:rsidR="003F6C4B" w:rsidRPr="00106D3A">
        <w:rPr>
          <w:rFonts w:hint="cs"/>
          <w:sz w:val="24"/>
          <w:rtl/>
        </w:rPr>
        <w:t xml:space="preserve">בעלת מומחיות </w:t>
      </w:r>
      <w:r w:rsidR="00C14977" w:rsidRPr="00106D3A">
        <w:rPr>
          <w:rFonts w:hint="cs"/>
          <w:sz w:val="24"/>
          <w:rtl/>
        </w:rPr>
        <w:t xml:space="preserve">בנושאים חוקתיים ובסיס לגיטימציה נפרד </w:t>
      </w:r>
      <w:r w:rsidR="003F6C4B" w:rsidRPr="00106D3A">
        <w:rPr>
          <w:rFonts w:hint="cs"/>
          <w:sz w:val="24"/>
          <w:rtl/>
        </w:rPr>
        <w:t>שתעסוק בביקורת שיפוטית.</w:t>
      </w:r>
      <w:r w:rsidR="00946CCC" w:rsidRPr="00106D3A">
        <w:rPr>
          <w:rStyle w:val="FootnoteReference"/>
          <w:sz w:val="24"/>
          <w:rtl/>
        </w:rPr>
        <w:footnoteReference w:id="13"/>
      </w:r>
      <w:r w:rsidR="003F6C4B" w:rsidRPr="00106D3A">
        <w:rPr>
          <w:rFonts w:hint="cs"/>
          <w:sz w:val="24"/>
          <w:rtl/>
        </w:rPr>
        <w:t xml:space="preserve"> </w:t>
      </w:r>
      <w:r w:rsidR="00731BA4" w:rsidRPr="00106D3A">
        <w:rPr>
          <w:rFonts w:hint="cs"/>
          <w:sz w:val="24"/>
          <w:rtl/>
        </w:rPr>
        <w:t>ו</w:t>
      </w:r>
      <w:r w:rsidR="003F6C4B" w:rsidRPr="00106D3A">
        <w:rPr>
          <w:rFonts w:hint="cs"/>
          <w:sz w:val="24"/>
          <w:rtl/>
        </w:rPr>
        <w:t xml:space="preserve">היות </w:t>
      </w:r>
      <w:r w:rsidR="00043222" w:rsidRPr="00106D3A">
        <w:rPr>
          <w:rFonts w:hint="cs"/>
          <w:sz w:val="24"/>
          <w:rtl/>
        </w:rPr>
        <w:t>שמדובר בערכ</w:t>
      </w:r>
      <w:r w:rsidR="00BF6B33" w:rsidRPr="00106D3A">
        <w:rPr>
          <w:rFonts w:hint="cs"/>
          <w:sz w:val="24"/>
          <w:rtl/>
        </w:rPr>
        <w:t>א</w:t>
      </w:r>
      <w:r w:rsidR="00043222" w:rsidRPr="00106D3A">
        <w:rPr>
          <w:rFonts w:hint="cs"/>
          <w:sz w:val="24"/>
          <w:rtl/>
        </w:rPr>
        <w:t xml:space="preserve">ה ייחודית שאינה דנה במחלוקות משפטיות אחרות, ההגעה אליה תהיה ממילא </w:t>
      </w:r>
      <w:r w:rsidR="00D50A9E" w:rsidRPr="00106D3A">
        <w:rPr>
          <w:rFonts w:hint="cs"/>
          <w:sz w:val="24"/>
          <w:rtl/>
        </w:rPr>
        <w:t>בדרך</w:t>
      </w:r>
      <w:r w:rsidR="00043222" w:rsidRPr="00106D3A">
        <w:rPr>
          <w:rFonts w:hint="cs"/>
          <w:sz w:val="24"/>
          <w:rtl/>
        </w:rPr>
        <w:t xml:space="preserve"> של "תקיפה ישירה" </w:t>
      </w:r>
      <w:r w:rsidR="00043222" w:rsidRPr="00106D3A">
        <w:rPr>
          <w:sz w:val="24"/>
          <w:rtl/>
        </w:rPr>
        <w:t>–</w:t>
      </w:r>
      <w:r w:rsidR="00043222" w:rsidRPr="00106D3A">
        <w:rPr>
          <w:rFonts w:hint="cs"/>
          <w:sz w:val="24"/>
          <w:rtl/>
        </w:rPr>
        <w:t xml:space="preserve"> ההליכים שיידונו בה יעסקו מתחילה בשאלות של תוקף חוקתי, ויוזם ההליך יהיה זה שטוען לביטול החוק, ולא זה שטוען לקיומו. </w:t>
      </w:r>
    </w:p>
    <w:p w:rsidR="002E23A8" w:rsidRPr="00106D3A" w:rsidRDefault="002E23A8" w:rsidP="00D40643">
      <w:pPr>
        <w:ind w:firstLine="720"/>
        <w:jc w:val="both"/>
        <w:rPr>
          <w:sz w:val="24"/>
          <w:rtl/>
        </w:rPr>
      </w:pPr>
      <w:r w:rsidRPr="00106D3A">
        <w:rPr>
          <w:rFonts w:hint="cs"/>
          <w:sz w:val="24"/>
          <w:rtl/>
        </w:rPr>
        <w:t xml:space="preserve">גישה זו, המצמידה </w:t>
      </w:r>
      <w:r w:rsidR="003B135B" w:rsidRPr="00106D3A">
        <w:rPr>
          <w:rFonts w:hint="cs"/>
          <w:sz w:val="24"/>
          <w:rtl/>
        </w:rPr>
        <w:t>תקיפות ישירות למערכות ריכוזיות ו</w:t>
      </w:r>
      <w:r w:rsidRPr="00106D3A">
        <w:rPr>
          <w:rFonts w:hint="cs"/>
          <w:sz w:val="24"/>
          <w:rtl/>
        </w:rPr>
        <w:t>תקיפות עקיפות למערכות ביזוריות, משולבת בדרך כלל עם הבחנה נוספת בין סוגים של ביקורת שיפוטית: ביקורת שיפוטית מופשטת (</w:t>
      </w:r>
      <w:r w:rsidRPr="00106D3A">
        <w:rPr>
          <w:sz w:val="24"/>
        </w:rPr>
        <w:t>abstract</w:t>
      </w:r>
      <w:r w:rsidRPr="00106D3A">
        <w:rPr>
          <w:rFonts w:hint="cs"/>
          <w:sz w:val="24"/>
          <w:rtl/>
        </w:rPr>
        <w:t>) וביקורת שיפוטית ממוקדת (</w:t>
      </w:r>
      <w:r w:rsidRPr="00106D3A">
        <w:rPr>
          <w:sz w:val="24"/>
        </w:rPr>
        <w:t>concrete</w:t>
      </w:r>
      <w:r w:rsidRPr="00106D3A">
        <w:rPr>
          <w:rFonts w:hint="cs"/>
          <w:sz w:val="24"/>
          <w:rtl/>
        </w:rPr>
        <w:t xml:space="preserve">). הבחנה זו עוסקת בסוג הטענה </w:t>
      </w:r>
      <w:r w:rsidR="00D01FF5" w:rsidRPr="00106D3A">
        <w:rPr>
          <w:rFonts w:hint="cs"/>
          <w:sz w:val="24"/>
          <w:rtl/>
        </w:rPr>
        <w:t>וה</w:t>
      </w:r>
      <w:r w:rsidR="00861DC9" w:rsidRPr="00106D3A">
        <w:rPr>
          <w:rFonts w:hint="cs"/>
          <w:sz w:val="24"/>
          <w:rtl/>
        </w:rPr>
        <w:t>ביסוס הראייתי המובאים</w:t>
      </w:r>
      <w:r w:rsidRPr="00106D3A">
        <w:rPr>
          <w:rFonts w:hint="cs"/>
          <w:sz w:val="24"/>
          <w:rtl/>
        </w:rPr>
        <w:t xml:space="preserve"> בפני בית המשפט </w:t>
      </w:r>
      <w:r w:rsidR="001432D2" w:rsidRPr="00106D3A">
        <w:rPr>
          <w:sz w:val="24"/>
          <w:rtl/>
        </w:rPr>
        <w:t>–</w:t>
      </w:r>
      <w:r w:rsidRPr="00106D3A">
        <w:rPr>
          <w:rFonts w:hint="cs"/>
          <w:sz w:val="24"/>
          <w:rtl/>
        </w:rPr>
        <w:t xml:space="preserve"> </w:t>
      </w:r>
      <w:r w:rsidR="001432D2" w:rsidRPr="00106D3A">
        <w:rPr>
          <w:rFonts w:hint="cs"/>
          <w:sz w:val="24"/>
          <w:rtl/>
        </w:rPr>
        <w:t>האם הפגם החוקתי עולה מלשון החוק עצמו</w:t>
      </w:r>
      <w:r w:rsidR="002E36BA" w:rsidRPr="00106D3A">
        <w:rPr>
          <w:rFonts w:hint="cs"/>
          <w:sz w:val="24"/>
          <w:rtl/>
        </w:rPr>
        <w:t xml:space="preserve"> עוד טרם שהחוק יושם</w:t>
      </w:r>
      <w:r w:rsidR="001432D2" w:rsidRPr="00106D3A">
        <w:rPr>
          <w:rFonts w:hint="cs"/>
          <w:sz w:val="24"/>
          <w:rtl/>
        </w:rPr>
        <w:t xml:space="preserve">, או שמא הפגם החוקתי </w:t>
      </w:r>
      <w:r w:rsidR="00D40643" w:rsidRPr="00106D3A">
        <w:rPr>
          <w:rFonts w:hint="cs"/>
          <w:sz w:val="24"/>
          <w:rtl/>
        </w:rPr>
        <w:t>מ</w:t>
      </w:r>
      <w:r w:rsidR="001432D2" w:rsidRPr="00106D3A">
        <w:rPr>
          <w:rFonts w:hint="cs"/>
          <w:sz w:val="24"/>
          <w:rtl/>
        </w:rPr>
        <w:t xml:space="preserve">תברר רק </w:t>
      </w:r>
      <w:r w:rsidR="00D40643" w:rsidRPr="00106D3A">
        <w:rPr>
          <w:rFonts w:hint="cs"/>
          <w:sz w:val="24"/>
          <w:rtl/>
        </w:rPr>
        <w:t xml:space="preserve">לאור </w:t>
      </w:r>
      <w:r w:rsidR="001432D2" w:rsidRPr="00106D3A">
        <w:rPr>
          <w:rFonts w:hint="cs"/>
          <w:sz w:val="24"/>
          <w:rtl/>
        </w:rPr>
        <w:t xml:space="preserve">האופן שבו הופעל החוק הלכה למעשה. </w:t>
      </w:r>
      <w:r w:rsidR="002A447E" w:rsidRPr="00106D3A">
        <w:rPr>
          <w:rFonts w:hint="cs"/>
          <w:sz w:val="24"/>
          <w:rtl/>
        </w:rPr>
        <w:t>כאן מקובל להניח ששיטות ריכוזיות מתייחדות בביקורת שיפוטית מופשטת, בעוד שיטות ביזוריות עוסקות בביקורת שיפוטית ממוקדת.</w:t>
      </w:r>
      <w:r w:rsidR="00F844B9">
        <w:rPr>
          <w:rStyle w:val="FootnoteReference"/>
          <w:sz w:val="24"/>
          <w:rtl/>
        </w:rPr>
        <w:footnoteReference w:id="14"/>
      </w:r>
      <w:r w:rsidR="002A447E" w:rsidRPr="00106D3A">
        <w:rPr>
          <w:rFonts w:hint="cs"/>
          <w:sz w:val="24"/>
          <w:rtl/>
        </w:rPr>
        <w:t xml:space="preserve"> </w:t>
      </w:r>
    </w:p>
    <w:p w:rsidR="00D40643" w:rsidRPr="00106D3A" w:rsidRDefault="002A447E" w:rsidP="00E47E3F">
      <w:pPr>
        <w:ind w:firstLine="720"/>
        <w:jc w:val="both"/>
        <w:rPr>
          <w:sz w:val="24"/>
          <w:rtl/>
        </w:rPr>
      </w:pPr>
      <w:r w:rsidRPr="00106D3A">
        <w:rPr>
          <w:rFonts w:hint="cs"/>
          <w:sz w:val="24"/>
          <w:rtl/>
        </w:rPr>
        <w:t>אני מבקש לשחרר את הדיון שלהלן ממערכת ההנחות הזו</w:t>
      </w:r>
      <w:r w:rsidR="00277A63">
        <w:rPr>
          <w:rFonts w:hint="cs"/>
          <w:sz w:val="24"/>
          <w:rtl/>
        </w:rPr>
        <w:t>, לפחות כנקודת מוצא</w:t>
      </w:r>
      <w:r w:rsidRPr="00106D3A">
        <w:rPr>
          <w:rFonts w:hint="cs"/>
          <w:sz w:val="24"/>
          <w:rtl/>
        </w:rPr>
        <w:t xml:space="preserve">. </w:t>
      </w:r>
      <w:r w:rsidR="00551EEB" w:rsidRPr="00106D3A">
        <w:rPr>
          <w:rFonts w:hint="cs"/>
          <w:sz w:val="24"/>
          <w:rtl/>
        </w:rPr>
        <w:t xml:space="preserve">אף שקיימת זיקה נסיבתית בין ריכוזיות ותקיפה ישירה </w:t>
      </w:r>
      <w:r w:rsidR="00E47E3F">
        <w:rPr>
          <w:rFonts w:hint="cs"/>
          <w:sz w:val="24"/>
          <w:rtl/>
        </w:rPr>
        <w:t>ומ</w:t>
      </w:r>
      <w:r w:rsidR="00AF2F99">
        <w:rPr>
          <w:rFonts w:hint="cs"/>
          <w:sz w:val="24"/>
          <w:rtl/>
        </w:rPr>
        <w:t>ו</w:t>
      </w:r>
      <w:r w:rsidR="00E47E3F">
        <w:rPr>
          <w:rFonts w:hint="cs"/>
          <w:sz w:val="24"/>
          <w:rtl/>
        </w:rPr>
        <w:t xml:space="preserve">פשטת </w:t>
      </w:r>
      <w:r w:rsidR="00551EEB" w:rsidRPr="00106D3A">
        <w:rPr>
          <w:rFonts w:hint="cs"/>
          <w:sz w:val="24"/>
          <w:rtl/>
        </w:rPr>
        <w:t>ובין ביזוריות ותקופה עקיפה</w:t>
      </w:r>
      <w:r w:rsidR="00E47E3F">
        <w:rPr>
          <w:rFonts w:hint="cs"/>
          <w:sz w:val="24"/>
          <w:rtl/>
        </w:rPr>
        <w:t xml:space="preserve"> וקונקרטית</w:t>
      </w:r>
      <w:r w:rsidR="00551EEB" w:rsidRPr="00106D3A">
        <w:rPr>
          <w:rFonts w:hint="cs"/>
          <w:sz w:val="24"/>
          <w:rtl/>
        </w:rPr>
        <w:t xml:space="preserve">, הרי </w:t>
      </w:r>
      <w:r w:rsidR="00E51CC2" w:rsidRPr="00106D3A">
        <w:rPr>
          <w:rFonts w:hint="cs"/>
          <w:sz w:val="24"/>
          <w:rtl/>
        </w:rPr>
        <w:t>ייתכנו</w:t>
      </w:r>
      <w:r w:rsidR="00F97150" w:rsidRPr="00106D3A">
        <w:rPr>
          <w:rFonts w:hint="cs"/>
          <w:sz w:val="24"/>
          <w:rtl/>
        </w:rPr>
        <w:t xml:space="preserve"> שיטות ביזוריות הכוללות גם הליכים של תקיפה ישירה</w:t>
      </w:r>
      <w:r w:rsidR="00300677" w:rsidRPr="00106D3A">
        <w:rPr>
          <w:rFonts w:hint="cs"/>
          <w:sz w:val="24"/>
          <w:rtl/>
        </w:rPr>
        <w:t xml:space="preserve"> </w:t>
      </w:r>
      <w:r w:rsidR="00300677" w:rsidRPr="00106D3A">
        <w:rPr>
          <w:sz w:val="24"/>
          <w:rtl/>
        </w:rPr>
        <w:t>–</w:t>
      </w:r>
      <w:r w:rsidR="00300677" w:rsidRPr="00106D3A">
        <w:rPr>
          <w:rFonts w:hint="cs"/>
          <w:sz w:val="24"/>
          <w:rtl/>
        </w:rPr>
        <w:t xml:space="preserve"> כלומר, ייזום הליך בערכאה נמוכה שמטרתו הכרזה על בטלות חוק</w:t>
      </w:r>
      <w:r w:rsidR="002E23A8" w:rsidRPr="00106D3A">
        <w:rPr>
          <w:rFonts w:hint="cs"/>
          <w:sz w:val="24"/>
          <w:rtl/>
        </w:rPr>
        <w:t xml:space="preserve">. מצד שני אפשריות גם </w:t>
      </w:r>
      <w:r w:rsidR="00F97150" w:rsidRPr="00106D3A">
        <w:rPr>
          <w:rFonts w:hint="cs"/>
          <w:sz w:val="24"/>
          <w:rtl/>
        </w:rPr>
        <w:t xml:space="preserve">שיטות </w:t>
      </w:r>
      <w:r w:rsidR="00997DDD" w:rsidRPr="00106D3A">
        <w:rPr>
          <w:rFonts w:hint="cs"/>
          <w:sz w:val="24"/>
          <w:rtl/>
        </w:rPr>
        <w:t xml:space="preserve">ריכוזיות </w:t>
      </w:r>
      <w:r w:rsidR="002E23A8" w:rsidRPr="00106D3A">
        <w:rPr>
          <w:rFonts w:hint="cs"/>
          <w:sz w:val="24"/>
          <w:rtl/>
        </w:rPr>
        <w:t xml:space="preserve">הכוללות </w:t>
      </w:r>
      <w:r w:rsidR="00997DDD" w:rsidRPr="00106D3A">
        <w:rPr>
          <w:rFonts w:hint="cs"/>
          <w:sz w:val="24"/>
          <w:rtl/>
        </w:rPr>
        <w:t>הליכים שיש להם מאפיינים של תקיפה עקיפה</w:t>
      </w:r>
      <w:r w:rsidR="002E23A8" w:rsidRPr="00106D3A">
        <w:rPr>
          <w:rFonts w:hint="cs"/>
          <w:sz w:val="24"/>
          <w:rtl/>
        </w:rPr>
        <w:t xml:space="preserve"> </w:t>
      </w:r>
      <w:r w:rsidR="002E23A8" w:rsidRPr="00106D3A">
        <w:rPr>
          <w:sz w:val="24"/>
          <w:rtl/>
        </w:rPr>
        <w:t>–</w:t>
      </w:r>
      <w:r w:rsidR="002E23A8" w:rsidRPr="00106D3A">
        <w:rPr>
          <w:rFonts w:hint="cs"/>
          <w:sz w:val="24"/>
          <w:rtl/>
        </w:rPr>
        <w:t xml:space="preserve"> למשל תקיפה המבוססת על פגיעה חוקתית קונקרטית</w:t>
      </w:r>
      <w:r w:rsidR="00A63830" w:rsidRPr="00106D3A">
        <w:rPr>
          <w:rFonts w:hint="cs"/>
          <w:sz w:val="24"/>
          <w:rtl/>
        </w:rPr>
        <w:t xml:space="preserve"> שכבר ארעה.</w:t>
      </w:r>
      <w:r w:rsidR="00990417" w:rsidRPr="00106D3A">
        <w:rPr>
          <w:rStyle w:val="FootnoteReference"/>
          <w:sz w:val="24"/>
          <w:rtl/>
        </w:rPr>
        <w:footnoteReference w:id="15"/>
      </w:r>
      <w:r w:rsidR="00A63830" w:rsidRPr="00106D3A">
        <w:rPr>
          <w:rFonts w:hint="cs"/>
          <w:sz w:val="24"/>
          <w:rtl/>
        </w:rPr>
        <w:t xml:space="preserve"> השאלות בדבר ההסדר הרצוי בנושא תקיפה ישירה או עקיפה, </w:t>
      </w:r>
      <w:r w:rsidR="00A63830" w:rsidRPr="00106D3A">
        <w:rPr>
          <w:rFonts w:hint="cs"/>
          <w:sz w:val="24"/>
          <w:rtl/>
        </w:rPr>
        <w:lastRenderedPageBreak/>
        <w:t xml:space="preserve">מופשטת או ממוקדת, הן </w:t>
      </w:r>
      <w:r w:rsidR="00253D95" w:rsidRPr="00106D3A">
        <w:rPr>
          <w:rFonts w:hint="cs"/>
          <w:sz w:val="24"/>
          <w:rtl/>
        </w:rPr>
        <w:t>מעניינות ומורכבות</w:t>
      </w:r>
      <w:r w:rsidR="00F56D48" w:rsidRPr="00106D3A">
        <w:rPr>
          <w:rFonts w:hint="cs"/>
          <w:sz w:val="24"/>
          <w:rtl/>
        </w:rPr>
        <w:t xml:space="preserve"> וכמובן רלוונטיות לדיון</w:t>
      </w:r>
      <w:r w:rsidR="00253D95" w:rsidRPr="00106D3A">
        <w:rPr>
          <w:rFonts w:hint="cs"/>
          <w:sz w:val="24"/>
          <w:rtl/>
        </w:rPr>
        <w:t xml:space="preserve">, </w:t>
      </w:r>
      <w:r w:rsidR="00A63830" w:rsidRPr="00106D3A">
        <w:rPr>
          <w:rFonts w:hint="cs"/>
          <w:sz w:val="24"/>
          <w:rtl/>
        </w:rPr>
        <w:t>ואשוב אליהן בהמשך המאמר.</w:t>
      </w:r>
      <w:r w:rsidR="00D50A9E" w:rsidRPr="00106D3A">
        <w:rPr>
          <w:rStyle w:val="FootnoteReference"/>
          <w:sz w:val="24"/>
          <w:rtl/>
        </w:rPr>
        <w:footnoteReference w:id="16"/>
      </w:r>
      <w:r w:rsidR="00A63830" w:rsidRPr="00106D3A">
        <w:rPr>
          <w:rFonts w:hint="cs"/>
          <w:sz w:val="24"/>
          <w:rtl/>
        </w:rPr>
        <w:t xml:space="preserve"> אך </w:t>
      </w:r>
      <w:r w:rsidR="00394AA3" w:rsidRPr="00106D3A">
        <w:rPr>
          <w:rFonts w:hint="cs"/>
          <w:sz w:val="24"/>
          <w:rtl/>
        </w:rPr>
        <w:t xml:space="preserve">חשוב להבהיר כבר כעת כי </w:t>
      </w:r>
      <w:r w:rsidR="00253D95" w:rsidRPr="00106D3A">
        <w:rPr>
          <w:rFonts w:hint="cs"/>
          <w:sz w:val="24"/>
          <w:rtl/>
        </w:rPr>
        <w:t>אלה שאלות נפרדות משאלת העיצוב המוסדי של הביקורת השיפוטית</w:t>
      </w:r>
      <w:r w:rsidR="005D305F" w:rsidRPr="00106D3A">
        <w:rPr>
          <w:rFonts w:hint="cs"/>
          <w:sz w:val="24"/>
          <w:rtl/>
        </w:rPr>
        <w:t>. עמדתנו בשאלה האם עדיפה שיטה</w:t>
      </w:r>
      <w:r w:rsidR="00D40643" w:rsidRPr="00106D3A">
        <w:rPr>
          <w:rFonts w:hint="cs"/>
          <w:sz w:val="24"/>
          <w:rtl/>
        </w:rPr>
        <w:t xml:space="preserve"> ריכוזית או ביזורית לא יכולה להיגזר מתפיסה תורת-משפטית או פרוצדוראלית כלשהי לגבי</w:t>
      </w:r>
      <w:r w:rsidR="005D305F" w:rsidRPr="00106D3A">
        <w:rPr>
          <w:rFonts w:hint="cs"/>
          <w:sz w:val="24"/>
          <w:rtl/>
        </w:rPr>
        <w:t xml:space="preserve"> מהותה </w:t>
      </w:r>
      <w:r w:rsidR="00D40643" w:rsidRPr="00106D3A">
        <w:rPr>
          <w:rFonts w:hint="cs"/>
          <w:sz w:val="24"/>
          <w:rtl/>
        </w:rPr>
        <w:t xml:space="preserve">של </w:t>
      </w:r>
      <w:r w:rsidR="00AE3262" w:rsidRPr="00106D3A">
        <w:rPr>
          <w:rFonts w:hint="cs"/>
          <w:sz w:val="24"/>
          <w:rtl/>
        </w:rPr>
        <w:t xml:space="preserve">הנורמה החוקתית או </w:t>
      </w:r>
      <w:r w:rsidR="00D40643" w:rsidRPr="00106D3A">
        <w:rPr>
          <w:rFonts w:hint="cs"/>
          <w:sz w:val="24"/>
          <w:rtl/>
        </w:rPr>
        <w:t xml:space="preserve">השפיטה החוקתית. </w:t>
      </w:r>
      <w:r w:rsidR="005D305F" w:rsidRPr="00106D3A">
        <w:rPr>
          <w:rFonts w:hint="cs"/>
          <w:sz w:val="24"/>
          <w:rtl/>
        </w:rPr>
        <w:t>מדובר בהכרעה עצמאית שעניינה כישורים מוסדיים ולגיטימיות</w:t>
      </w:r>
      <w:r w:rsidR="00DE6661" w:rsidRPr="00106D3A">
        <w:rPr>
          <w:rFonts w:hint="cs"/>
          <w:sz w:val="24"/>
          <w:rtl/>
        </w:rPr>
        <w:t xml:space="preserve"> דמוקרטית</w:t>
      </w:r>
      <w:r w:rsidR="005D305F" w:rsidRPr="00106D3A">
        <w:rPr>
          <w:rFonts w:hint="cs"/>
          <w:sz w:val="24"/>
          <w:rtl/>
        </w:rPr>
        <w:t xml:space="preserve">. </w:t>
      </w:r>
    </w:p>
    <w:p w:rsidR="00D40643" w:rsidRPr="00106D3A" w:rsidRDefault="00D40643" w:rsidP="00D42629">
      <w:pPr>
        <w:jc w:val="both"/>
        <w:rPr>
          <w:sz w:val="24"/>
          <w:rtl/>
        </w:rPr>
      </w:pPr>
    </w:p>
    <w:p w:rsidR="00D42629" w:rsidRPr="00106D3A" w:rsidRDefault="00D42629" w:rsidP="00F65B11">
      <w:pPr>
        <w:pStyle w:val="Heading1"/>
        <w:numPr>
          <w:ilvl w:val="0"/>
          <w:numId w:val="8"/>
        </w:numPr>
        <w:rPr>
          <w:rtl/>
        </w:rPr>
      </w:pPr>
      <w:bookmarkStart w:id="7" w:name="_Toc372223052"/>
      <w:r w:rsidRPr="00106D3A">
        <w:rPr>
          <w:rFonts w:hint="cs"/>
          <w:rtl/>
        </w:rPr>
        <w:t>המצב בישראל: ביזורית להלכה, ריכוזית למעשה</w:t>
      </w:r>
      <w:bookmarkEnd w:id="7"/>
    </w:p>
    <w:p w:rsidR="00D03FAF" w:rsidRPr="00106D3A" w:rsidRDefault="009D605A" w:rsidP="00A37E77">
      <w:pPr>
        <w:ind w:firstLine="720"/>
        <w:jc w:val="both"/>
        <w:rPr>
          <w:sz w:val="24"/>
          <w:rtl/>
        </w:rPr>
      </w:pPr>
      <w:r w:rsidRPr="00106D3A">
        <w:rPr>
          <w:rFonts w:hint="cs"/>
          <w:sz w:val="24"/>
          <w:rtl/>
        </w:rPr>
        <w:t xml:space="preserve">מהי שיטת הביקורת השיפוטית החוקתית בישראל? </w:t>
      </w:r>
      <w:r w:rsidR="0082235E" w:rsidRPr="00106D3A">
        <w:rPr>
          <w:rFonts w:hint="cs"/>
          <w:sz w:val="24"/>
          <w:rtl/>
        </w:rPr>
        <w:t xml:space="preserve">כידוע לשאלה זו אין תשובה בטקסטים החוקתיים הקיימים. </w:t>
      </w:r>
      <w:r w:rsidR="00EB0340" w:rsidRPr="00106D3A">
        <w:rPr>
          <w:rFonts w:hint="cs"/>
          <w:sz w:val="24"/>
          <w:rtl/>
        </w:rPr>
        <w:t xml:space="preserve">כמו </w:t>
      </w:r>
      <w:r w:rsidR="00D20B5C" w:rsidRPr="00106D3A">
        <w:rPr>
          <w:rFonts w:hint="cs"/>
          <w:sz w:val="24"/>
          <w:rtl/>
        </w:rPr>
        <w:t xml:space="preserve">ארצות הברית, גם ישראל אימצה את הביקורת השיפוטית במהלך של פרשנות שיפוטית, כמסקנה </w:t>
      </w:r>
      <w:r w:rsidR="00A37E77" w:rsidRPr="00106D3A">
        <w:rPr>
          <w:rFonts w:hint="cs"/>
          <w:sz w:val="24"/>
          <w:rtl/>
        </w:rPr>
        <w:t>שנבעה</w:t>
      </w:r>
      <w:r w:rsidR="00D20B5C" w:rsidRPr="00106D3A">
        <w:rPr>
          <w:rFonts w:hint="cs"/>
          <w:sz w:val="24"/>
          <w:rtl/>
        </w:rPr>
        <w:t xml:space="preserve"> מן ההכרה בהיררכיית הנורמות </w:t>
      </w:r>
      <w:r w:rsidR="00AC03B5" w:rsidRPr="00106D3A">
        <w:rPr>
          <w:rFonts w:hint="cs"/>
          <w:sz w:val="24"/>
          <w:rtl/>
        </w:rPr>
        <w:t xml:space="preserve">אליה הגיע המשפט החוקתי הישראלי באמצע שנות ה-90 של המאה ה-20. </w:t>
      </w:r>
      <w:r w:rsidR="00F42C32" w:rsidRPr="00106D3A">
        <w:rPr>
          <w:rFonts w:hint="cs"/>
          <w:sz w:val="24"/>
          <w:rtl/>
        </w:rPr>
        <w:t>התנאים המוסדיים בהם התפתחה הביקורת השיפוטית הם אפוא נתון נסיבתי, ולא תוצר של תכנון חוקתי מכוון. ואמנם באין תכנון גם לא נעשתה בחירה בין ה</w:t>
      </w:r>
      <w:r w:rsidR="00EB0340" w:rsidRPr="00106D3A">
        <w:rPr>
          <w:rFonts w:hint="cs"/>
          <w:sz w:val="24"/>
          <w:rtl/>
        </w:rPr>
        <w:t>גישות</w:t>
      </w:r>
      <w:r w:rsidR="00F42C32" w:rsidRPr="00106D3A">
        <w:rPr>
          <w:rFonts w:hint="cs"/>
          <w:sz w:val="24"/>
          <w:rtl/>
        </w:rPr>
        <w:t xml:space="preserve">, וישראל מקיימת למעשה עירוב של שתי השיטות יחד: הביקורת השיפוטית בישראל יכולה להתבצע הן במסלול ביזורי, </w:t>
      </w:r>
      <w:r w:rsidR="001B7E9C" w:rsidRPr="00106D3A">
        <w:rPr>
          <w:rFonts w:hint="cs"/>
          <w:sz w:val="24"/>
          <w:rtl/>
        </w:rPr>
        <w:t xml:space="preserve">במסגרת ההליכים המתנהלים בערכאות הדיון והערעור השונות, </w:t>
      </w:r>
      <w:r w:rsidR="00F42C32" w:rsidRPr="00106D3A">
        <w:rPr>
          <w:rFonts w:hint="cs"/>
          <w:sz w:val="24"/>
          <w:rtl/>
        </w:rPr>
        <w:t xml:space="preserve">והן </w:t>
      </w:r>
      <w:r w:rsidR="00F44801" w:rsidRPr="00106D3A">
        <w:rPr>
          <w:rFonts w:hint="cs"/>
          <w:sz w:val="24"/>
          <w:rtl/>
        </w:rPr>
        <w:t xml:space="preserve">בהליך </w:t>
      </w:r>
      <w:r w:rsidR="00F42C32" w:rsidRPr="00106D3A">
        <w:rPr>
          <w:rFonts w:hint="cs"/>
          <w:sz w:val="24"/>
          <w:rtl/>
        </w:rPr>
        <w:t>ריכוזי</w:t>
      </w:r>
      <w:r w:rsidR="001B7E9C" w:rsidRPr="00106D3A">
        <w:rPr>
          <w:rFonts w:hint="cs"/>
          <w:sz w:val="24"/>
          <w:rtl/>
        </w:rPr>
        <w:t>, באמצעות עתירה ישירה לבג"ץ</w:t>
      </w:r>
      <w:r w:rsidR="00F42C32" w:rsidRPr="00106D3A">
        <w:rPr>
          <w:rFonts w:hint="cs"/>
          <w:sz w:val="24"/>
          <w:rtl/>
        </w:rPr>
        <w:t xml:space="preserve">. </w:t>
      </w:r>
      <w:r w:rsidR="00885309" w:rsidRPr="00106D3A">
        <w:rPr>
          <w:rFonts w:hint="cs"/>
          <w:sz w:val="24"/>
          <w:rtl/>
        </w:rPr>
        <w:t xml:space="preserve">עם זאת, ואף שה"שעטנז" הזה הוא חלופה מעוררת עניין כשלעצמה, בפועל הנטייה הכללית של הליטיגציה החוקתית בשני העשורים האחרונים (מאז הלכת בנק המזרחי) מתמקדת באופן מובהק בקצה הריכוזי, תוך זניחה כמעט גורפת של החלופה הביזורית. </w:t>
      </w:r>
    </w:p>
    <w:p w:rsidR="00F42C32" w:rsidRPr="00106D3A" w:rsidRDefault="00D03FAF" w:rsidP="00B46C4E">
      <w:pPr>
        <w:ind w:firstLine="720"/>
        <w:jc w:val="both"/>
        <w:rPr>
          <w:sz w:val="24"/>
          <w:rtl/>
        </w:rPr>
      </w:pPr>
      <w:r w:rsidRPr="00106D3A">
        <w:rPr>
          <w:rFonts w:hint="cs"/>
          <w:sz w:val="24"/>
          <w:rtl/>
        </w:rPr>
        <w:t xml:space="preserve">אציג </w:t>
      </w:r>
      <w:r w:rsidR="002163BB" w:rsidRPr="00106D3A">
        <w:rPr>
          <w:rFonts w:hint="cs"/>
          <w:sz w:val="24"/>
          <w:rtl/>
        </w:rPr>
        <w:t xml:space="preserve">כעת </w:t>
      </w:r>
      <w:r w:rsidRPr="00106D3A">
        <w:rPr>
          <w:rFonts w:hint="cs"/>
          <w:sz w:val="24"/>
          <w:rtl/>
        </w:rPr>
        <w:t>את</w:t>
      </w:r>
      <w:r w:rsidR="002163BB" w:rsidRPr="00106D3A">
        <w:rPr>
          <w:rFonts w:hint="cs"/>
          <w:sz w:val="24"/>
          <w:rtl/>
        </w:rPr>
        <w:t xml:space="preserve"> ההיבט</w:t>
      </w:r>
      <w:r w:rsidRPr="00106D3A">
        <w:rPr>
          <w:rFonts w:hint="cs"/>
          <w:sz w:val="24"/>
          <w:rtl/>
        </w:rPr>
        <w:t xml:space="preserve"> הביזורי ו</w:t>
      </w:r>
      <w:r w:rsidR="002163BB" w:rsidRPr="00106D3A">
        <w:rPr>
          <w:rFonts w:hint="cs"/>
          <w:sz w:val="24"/>
          <w:rtl/>
        </w:rPr>
        <w:t xml:space="preserve">את ההיבט </w:t>
      </w:r>
      <w:r w:rsidRPr="00106D3A">
        <w:rPr>
          <w:rFonts w:hint="cs"/>
          <w:sz w:val="24"/>
          <w:rtl/>
        </w:rPr>
        <w:t>הריכוזי של השיטה הקיימת</w:t>
      </w:r>
      <w:r w:rsidR="00FC2201" w:rsidRPr="00106D3A">
        <w:rPr>
          <w:rFonts w:hint="cs"/>
          <w:sz w:val="24"/>
          <w:rtl/>
        </w:rPr>
        <w:t xml:space="preserve"> בישראל</w:t>
      </w:r>
      <w:r w:rsidRPr="00106D3A">
        <w:rPr>
          <w:rFonts w:hint="cs"/>
          <w:sz w:val="24"/>
          <w:rtl/>
        </w:rPr>
        <w:t xml:space="preserve">, </w:t>
      </w:r>
      <w:r w:rsidR="00D4308A" w:rsidRPr="00106D3A">
        <w:rPr>
          <w:rFonts w:hint="cs"/>
          <w:sz w:val="24"/>
          <w:rtl/>
        </w:rPr>
        <w:t>ו</w:t>
      </w:r>
      <w:r w:rsidR="00FC2201" w:rsidRPr="00106D3A">
        <w:rPr>
          <w:rFonts w:hint="cs"/>
          <w:sz w:val="24"/>
          <w:rtl/>
        </w:rPr>
        <w:t xml:space="preserve">אצביע על </w:t>
      </w:r>
      <w:r w:rsidR="002163BB" w:rsidRPr="00106D3A">
        <w:rPr>
          <w:rFonts w:hint="cs"/>
          <w:sz w:val="24"/>
          <w:rtl/>
        </w:rPr>
        <w:t>ה</w:t>
      </w:r>
      <w:r w:rsidR="00FC2201" w:rsidRPr="00106D3A">
        <w:rPr>
          <w:rFonts w:hint="cs"/>
          <w:sz w:val="24"/>
          <w:rtl/>
        </w:rPr>
        <w:t xml:space="preserve">ראיות </w:t>
      </w:r>
      <w:r w:rsidR="00D712F2" w:rsidRPr="00106D3A">
        <w:rPr>
          <w:rFonts w:hint="cs"/>
          <w:sz w:val="24"/>
          <w:rtl/>
        </w:rPr>
        <w:t>ל</w:t>
      </w:r>
      <w:r w:rsidR="00FC2201" w:rsidRPr="00106D3A">
        <w:rPr>
          <w:rFonts w:hint="cs"/>
          <w:sz w:val="24"/>
          <w:rtl/>
        </w:rPr>
        <w:t xml:space="preserve">הטיה </w:t>
      </w:r>
      <w:r w:rsidR="00D712F2" w:rsidRPr="00106D3A">
        <w:rPr>
          <w:rFonts w:hint="cs"/>
          <w:sz w:val="24"/>
          <w:rtl/>
        </w:rPr>
        <w:t xml:space="preserve">הנמשכת </w:t>
      </w:r>
      <w:r w:rsidRPr="00106D3A">
        <w:rPr>
          <w:rFonts w:hint="cs"/>
          <w:sz w:val="24"/>
          <w:rtl/>
        </w:rPr>
        <w:t>של המערכת לכיוון הקצה הריכוזי</w:t>
      </w:r>
      <w:r w:rsidR="00382BA2" w:rsidRPr="00106D3A">
        <w:rPr>
          <w:rFonts w:hint="cs"/>
          <w:sz w:val="24"/>
          <w:rtl/>
        </w:rPr>
        <w:t>, כלומר למיקוד הליטיגציה החוקתית הישראלית בבית המשפט העליון בשבתו כבג"ץ</w:t>
      </w:r>
      <w:r w:rsidR="00D712F2" w:rsidRPr="00106D3A">
        <w:rPr>
          <w:rFonts w:hint="cs"/>
          <w:sz w:val="24"/>
          <w:rtl/>
        </w:rPr>
        <w:t>. אף ש</w:t>
      </w:r>
      <w:r w:rsidR="00B46C4E" w:rsidRPr="00106D3A">
        <w:rPr>
          <w:rFonts w:hint="cs"/>
          <w:sz w:val="24"/>
          <w:rtl/>
        </w:rPr>
        <w:t xml:space="preserve">בית המשפט העליון מכיר בקיומה של חלופה ביזורית ומתייחס אליה לעתים בפסיקתו, </w:t>
      </w:r>
      <w:r w:rsidR="00D712F2" w:rsidRPr="00106D3A">
        <w:rPr>
          <w:rFonts w:hint="cs"/>
          <w:sz w:val="24"/>
          <w:rtl/>
        </w:rPr>
        <w:t xml:space="preserve">מרבית </w:t>
      </w:r>
      <w:r w:rsidR="007620A0" w:rsidRPr="00106D3A">
        <w:rPr>
          <w:rFonts w:hint="cs"/>
          <w:sz w:val="24"/>
          <w:rtl/>
        </w:rPr>
        <w:t xml:space="preserve">הנתונים </w:t>
      </w:r>
      <w:r w:rsidR="00D712F2" w:rsidRPr="00106D3A">
        <w:rPr>
          <w:rFonts w:hint="cs"/>
          <w:sz w:val="24"/>
          <w:rtl/>
        </w:rPr>
        <w:t xml:space="preserve">מצביעים על התגבשותו של כעין קונסנזוס במערכת החוקתית, על שחקניה השונים, בקצה הריכוזי. זהו נתון מעניין בהתחשב בעוצמת המחלוקות האופפות </w:t>
      </w:r>
      <w:r w:rsidR="00A71B3F">
        <w:rPr>
          <w:rFonts w:hint="cs"/>
          <w:sz w:val="24"/>
          <w:rtl/>
        </w:rPr>
        <w:t xml:space="preserve">ככלל </w:t>
      </w:r>
      <w:r w:rsidR="00D712F2" w:rsidRPr="00106D3A">
        <w:rPr>
          <w:rFonts w:hint="cs"/>
          <w:sz w:val="24"/>
          <w:rtl/>
        </w:rPr>
        <w:t>את תחום הביקורת השיפוטית החוקתית מאז הופיעה במשפט הישראלי</w:t>
      </w:r>
      <w:r w:rsidR="00CD1BCF" w:rsidRPr="00106D3A">
        <w:rPr>
          <w:rFonts w:hint="cs"/>
          <w:sz w:val="24"/>
          <w:rtl/>
        </w:rPr>
        <w:t>;</w:t>
      </w:r>
      <w:r w:rsidR="00D712F2" w:rsidRPr="00106D3A">
        <w:rPr>
          <w:rFonts w:hint="cs"/>
          <w:sz w:val="24"/>
          <w:rtl/>
        </w:rPr>
        <w:t xml:space="preserve"> </w:t>
      </w:r>
      <w:r w:rsidR="00CD1BCF" w:rsidRPr="00106D3A">
        <w:rPr>
          <w:rFonts w:hint="cs"/>
          <w:sz w:val="24"/>
          <w:rtl/>
        </w:rPr>
        <w:t>ו</w:t>
      </w:r>
      <w:r w:rsidR="00D712F2" w:rsidRPr="00106D3A">
        <w:rPr>
          <w:rFonts w:hint="cs"/>
          <w:sz w:val="24"/>
          <w:rtl/>
        </w:rPr>
        <w:t xml:space="preserve">כפי שאטען בהמשך, זהו גם נתון מטריד, בהתחשב בטעמים התומכים דווקא בהעדפת היבט ביזורי </w:t>
      </w:r>
      <w:r w:rsidR="00B46C4E" w:rsidRPr="00106D3A">
        <w:rPr>
          <w:rFonts w:hint="cs"/>
          <w:sz w:val="24"/>
          <w:rtl/>
        </w:rPr>
        <w:t>משמעותי</w:t>
      </w:r>
      <w:r w:rsidR="00D712F2" w:rsidRPr="00106D3A">
        <w:rPr>
          <w:rFonts w:hint="cs"/>
          <w:sz w:val="24"/>
          <w:rtl/>
        </w:rPr>
        <w:t xml:space="preserve"> לביקורת השיפוטית הישראלית. </w:t>
      </w:r>
    </w:p>
    <w:p w:rsidR="0085737A" w:rsidRPr="00106D3A" w:rsidRDefault="0085737A" w:rsidP="007620A0">
      <w:pPr>
        <w:ind w:firstLine="720"/>
        <w:jc w:val="both"/>
        <w:rPr>
          <w:sz w:val="24"/>
          <w:rtl/>
        </w:rPr>
      </w:pPr>
    </w:p>
    <w:p w:rsidR="009E6860" w:rsidRPr="00106D3A" w:rsidRDefault="009E6860" w:rsidP="00843F73">
      <w:pPr>
        <w:pStyle w:val="Heading2"/>
        <w:numPr>
          <w:ilvl w:val="0"/>
          <w:numId w:val="13"/>
        </w:numPr>
        <w:rPr>
          <w:rtl/>
        </w:rPr>
      </w:pPr>
      <w:bookmarkStart w:id="8" w:name="_Toc372223053"/>
      <w:r w:rsidRPr="00106D3A">
        <w:rPr>
          <w:rFonts w:hint="cs"/>
          <w:rtl/>
        </w:rPr>
        <w:t>ישראל כשיטה ביזורית</w:t>
      </w:r>
      <w:bookmarkEnd w:id="8"/>
    </w:p>
    <w:p w:rsidR="00C4259E" w:rsidRPr="00106D3A" w:rsidRDefault="0077083F" w:rsidP="00B43E9B">
      <w:pPr>
        <w:ind w:firstLine="720"/>
        <w:jc w:val="both"/>
        <w:rPr>
          <w:sz w:val="24"/>
          <w:rtl/>
        </w:rPr>
      </w:pPr>
      <w:r w:rsidRPr="00106D3A">
        <w:rPr>
          <w:rFonts w:hint="cs"/>
          <w:sz w:val="24"/>
          <w:rtl/>
        </w:rPr>
        <w:t xml:space="preserve">בבסיסה, בישראל נוהגת היום שיטה של ביקורת שיפוטית ביזורית. באין קביעה חוקתית מפורשת באשר לסמכות ייחודית של ערכאה כזו או אחרת לעסוק בתחומים חוקתיים, ההנחה היא שכל ערכאה במערכת רשאית לעסוק בפירוש חוקי-היסוד ובאכיפתם, כולל קביעה שחוק רגיל שסותר חוק-יסוד שלא כדין אינו תקף. </w:t>
      </w:r>
      <w:r w:rsidR="001B7E9C" w:rsidRPr="00106D3A">
        <w:rPr>
          <w:rFonts w:hint="cs"/>
          <w:sz w:val="24"/>
          <w:rtl/>
        </w:rPr>
        <w:t xml:space="preserve">אכן, כזכור פסק הדין המכונן </w:t>
      </w:r>
      <w:r w:rsidR="00190C60" w:rsidRPr="00106D3A">
        <w:rPr>
          <w:rFonts w:hint="cs"/>
          <w:sz w:val="24"/>
          <w:rtl/>
        </w:rPr>
        <w:t xml:space="preserve">בעניין בנק המזרחי </w:t>
      </w:r>
      <w:r w:rsidR="00D26012" w:rsidRPr="00106D3A">
        <w:rPr>
          <w:rFonts w:hint="cs"/>
          <w:sz w:val="24"/>
          <w:rtl/>
        </w:rPr>
        <w:t xml:space="preserve">עצמו </w:t>
      </w:r>
      <w:r w:rsidR="00E04A00" w:rsidRPr="00106D3A">
        <w:rPr>
          <w:rFonts w:hint="cs"/>
          <w:sz w:val="24"/>
          <w:rtl/>
        </w:rPr>
        <w:t>ניתן על ידי בית המשפט העליון בש</w:t>
      </w:r>
      <w:r w:rsidR="00D26012" w:rsidRPr="00106D3A">
        <w:rPr>
          <w:rFonts w:hint="cs"/>
          <w:sz w:val="24"/>
          <w:rtl/>
        </w:rPr>
        <w:t>בתו כבית משפט לערעורים אזרחיים,</w:t>
      </w:r>
      <w:r w:rsidR="00F542F8" w:rsidRPr="00106D3A">
        <w:rPr>
          <w:rStyle w:val="FootnoteReference"/>
          <w:sz w:val="24"/>
          <w:rtl/>
        </w:rPr>
        <w:footnoteReference w:id="17"/>
      </w:r>
      <w:r w:rsidR="00D26012" w:rsidRPr="00106D3A">
        <w:rPr>
          <w:rFonts w:hint="cs"/>
          <w:sz w:val="24"/>
          <w:rtl/>
        </w:rPr>
        <w:t xml:space="preserve"> ב</w:t>
      </w:r>
      <w:r w:rsidR="00E04A00" w:rsidRPr="00106D3A">
        <w:rPr>
          <w:rFonts w:hint="cs"/>
          <w:sz w:val="24"/>
          <w:rtl/>
        </w:rPr>
        <w:t xml:space="preserve">הליך </w:t>
      </w:r>
      <w:r w:rsidR="00F20AC6" w:rsidRPr="00106D3A">
        <w:rPr>
          <w:rFonts w:hint="cs"/>
          <w:sz w:val="24"/>
          <w:rtl/>
        </w:rPr>
        <w:t>ש</w:t>
      </w:r>
      <w:r w:rsidR="00190C60" w:rsidRPr="00106D3A">
        <w:rPr>
          <w:rFonts w:hint="cs"/>
          <w:sz w:val="24"/>
          <w:rtl/>
        </w:rPr>
        <w:t>החל ב</w:t>
      </w:r>
      <w:r w:rsidR="00246301" w:rsidRPr="00106D3A">
        <w:rPr>
          <w:rFonts w:hint="cs"/>
          <w:sz w:val="24"/>
          <w:rtl/>
        </w:rPr>
        <w:t xml:space="preserve">החלטותיהם של </w:t>
      </w:r>
      <w:r w:rsidR="00190C60" w:rsidRPr="00106D3A">
        <w:rPr>
          <w:rFonts w:hint="cs"/>
          <w:sz w:val="24"/>
          <w:rtl/>
        </w:rPr>
        <w:t>שני בתי משפט מחוזיים</w:t>
      </w:r>
      <w:r w:rsidR="00246301" w:rsidRPr="00106D3A">
        <w:rPr>
          <w:rFonts w:hint="cs"/>
          <w:sz w:val="24"/>
          <w:rtl/>
        </w:rPr>
        <w:t xml:space="preserve"> לבצע ביקורת שיפוטית ביזורית</w:t>
      </w:r>
      <w:r w:rsidR="0000665B" w:rsidRPr="00106D3A">
        <w:rPr>
          <w:rFonts w:hint="cs"/>
          <w:sz w:val="24"/>
          <w:rtl/>
        </w:rPr>
        <w:t>. השופט</w:t>
      </w:r>
      <w:r w:rsidR="00B43E9B" w:rsidRPr="00106D3A">
        <w:rPr>
          <w:rFonts w:hint="cs"/>
          <w:sz w:val="24"/>
          <w:rtl/>
        </w:rPr>
        <w:t>ת</w:t>
      </w:r>
      <w:r w:rsidR="0000665B" w:rsidRPr="00106D3A">
        <w:rPr>
          <w:rFonts w:hint="cs"/>
          <w:sz w:val="24"/>
          <w:rtl/>
        </w:rPr>
        <w:t xml:space="preserve"> שטיין </w:t>
      </w:r>
      <w:r w:rsidR="005C7AD4" w:rsidRPr="00106D3A">
        <w:rPr>
          <w:rFonts w:hint="cs"/>
          <w:sz w:val="24"/>
          <w:rtl/>
        </w:rPr>
        <w:t>(</w:t>
      </w:r>
      <w:r w:rsidR="0000665B" w:rsidRPr="00106D3A">
        <w:rPr>
          <w:rFonts w:hint="cs"/>
          <w:sz w:val="24"/>
          <w:rtl/>
        </w:rPr>
        <w:t>בתל אביב</w:t>
      </w:r>
      <w:r w:rsidR="005C7AD4" w:rsidRPr="00106D3A">
        <w:rPr>
          <w:rFonts w:hint="cs"/>
          <w:sz w:val="24"/>
          <w:rtl/>
        </w:rPr>
        <w:t>)</w:t>
      </w:r>
      <w:r w:rsidR="0000665B" w:rsidRPr="00106D3A">
        <w:rPr>
          <w:rFonts w:hint="cs"/>
          <w:sz w:val="24"/>
          <w:rtl/>
        </w:rPr>
        <w:t xml:space="preserve"> ו</w:t>
      </w:r>
      <w:r w:rsidR="00B43E9B" w:rsidRPr="00106D3A">
        <w:rPr>
          <w:rFonts w:hint="cs"/>
          <w:sz w:val="24"/>
          <w:rtl/>
        </w:rPr>
        <w:t xml:space="preserve">השופט </w:t>
      </w:r>
      <w:r w:rsidR="0000665B" w:rsidRPr="00106D3A">
        <w:rPr>
          <w:rFonts w:hint="cs"/>
          <w:sz w:val="24"/>
          <w:rtl/>
        </w:rPr>
        <w:t xml:space="preserve">ג'ובראן </w:t>
      </w:r>
      <w:r w:rsidR="005C7AD4" w:rsidRPr="00106D3A">
        <w:rPr>
          <w:rFonts w:hint="cs"/>
          <w:sz w:val="24"/>
          <w:rtl/>
        </w:rPr>
        <w:t>(</w:t>
      </w:r>
      <w:r w:rsidR="0000665B" w:rsidRPr="00106D3A">
        <w:rPr>
          <w:rFonts w:hint="cs"/>
          <w:sz w:val="24"/>
          <w:rtl/>
        </w:rPr>
        <w:t>בחיפה</w:t>
      </w:r>
      <w:r w:rsidR="005C7AD4" w:rsidRPr="00106D3A">
        <w:rPr>
          <w:rFonts w:hint="cs"/>
          <w:sz w:val="24"/>
          <w:rtl/>
        </w:rPr>
        <w:t>)</w:t>
      </w:r>
      <w:r w:rsidR="0000665B" w:rsidRPr="00106D3A">
        <w:rPr>
          <w:rFonts w:hint="cs"/>
          <w:sz w:val="24"/>
          <w:rtl/>
        </w:rPr>
        <w:t xml:space="preserve"> </w:t>
      </w:r>
      <w:r w:rsidR="00190C60" w:rsidRPr="00106D3A">
        <w:rPr>
          <w:rFonts w:hint="cs"/>
          <w:sz w:val="24"/>
          <w:rtl/>
        </w:rPr>
        <w:t>קבעו</w:t>
      </w:r>
      <w:r w:rsidR="00265647" w:rsidRPr="00106D3A">
        <w:rPr>
          <w:rFonts w:hint="cs"/>
          <w:sz w:val="24"/>
          <w:rtl/>
        </w:rPr>
        <w:t>, במסגרת הליכים אזרחיים של מימוש חובות,</w:t>
      </w:r>
      <w:r w:rsidR="00190C60" w:rsidRPr="00106D3A">
        <w:rPr>
          <w:rFonts w:hint="cs"/>
          <w:sz w:val="24"/>
          <w:rtl/>
        </w:rPr>
        <w:t xml:space="preserve"> ש</w:t>
      </w:r>
      <w:r w:rsidR="0000665B" w:rsidRPr="00106D3A">
        <w:rPr>
          <w:rFonts w:hint="cs"/>
          <w:sz w:val="24"/>
          <w:rtl/>
        </w:rPr>
        <w:t>חוק ההסדרים במגזר החקלאי המשפחתי (תיקון), תשנ"ג-1993</w:t>
      </w:r>
      <w:r w:rsidR="00326C8B" w:rsidRPr="00106D3A">
        <w:rPr>
          <w:rStyle w:val="FootnoteReference"/>
          <w:sz w:val="24"/>
          <w:rtl/>
        </w:rPr>
        <w:footnoteReference w:id="18"/>
      </w:r>
      <w:r w:rsidR="0000665B" w:rsidRPr="00106D3A">
        <w:rPr>
          <w:rFonts w:hint="cs"/>
          <w:sz w:val="24"/>
          <w:rtl/>
        </w:rPr>
        <w:t xml:space="preserve"> </w:t>
      </w:r>
      <w:r w:rsidR="00190C60" w:rsidRPr="00106D3A">
        <w:rPr>
          <w:rFonts w:hint="cs"/>
          <w:sz w:val="24"/>
          <w:rtl/>
        </w:rPr>
        <w:t xml:space="preserve">סותר את חוק-יסוד: כבוד האדם וחירותו באופן שאינו מקיים את פסקת ההגבלה ולכן </w:t>
      </w:r>
      <w:r w:rsidR="00A87745" w:rsidRPr="00106D3A">
        <w:rPr>
          <w:rFonts w:hint="cs"/>
          <w:sz w:val="24"/>
          <w:rtl/>
        </w:rPr>
        <w:t>הוא בטל</w:t>
      </w:r>
      <w:r w:rsidR="00190C60" w:rsidRPr="00106D3A">
        <w:rPr>
          <w:rFonts w:hint="cs"/>
          <w:sz w:val="24"/>
          <w:rtl/>
        </w:rPr>
        <w:t>.</w:t>
      </w:r>
      <w:bookmarkStart w:id="9" w:name="_Ref365893627"/>
      <w:r w:rsidR="000A3508" w:rsidRPr="00106D3A">
        <w:rPr>
          <w:rStyle w:val="FootnoteReference"/>
          <w:sz w:val="24"/>
          <w:rtl/>
        </w:rPr>
        <w:footnoteReference w:id="19"/>
      </w:r>
      <w:bookmarkEnd w:id="9"/>
      <w:r w:rsidR="00190C60" w:rsidRPr="00106D3A">
        <w:rPr>
          <w:rFonts w:hint="cs"/>
          <w:sz w:val="24"/>
          <w:rtl/>
        </w:rPr>
        <w:t xml:space="preserve"> </w:t>
      </w:r>
      <w:r w:rsidR="00820748" w:rsidRPr="00106D3A">
        <w:rPr>
          <w:rFonts w:hint="cs"/>
          <w:sz w:val="24"/>
          <w:rtl/>
        </w:rPr>
        <w:t xml:space="preserve">בית המשפט העליון </w:t>
      </w:r>
      <w:r w:rsidR="002415BE" w:rsidRPr="00106D3A">
        <w:rPr>
          <w:rFonts w:hint="cs"/>
          <w:sz w:val="24"/>
          <w:rtl/>
        </w:rPr>
        <w:t xml:space="preserve">אמנם </w:t>
      </w:r>
      <w:r w:rsidR="00820748" w:rsidRPr="00106D3A">
        <w:rPr>
          <w:rFonts w:hint="cs"/>
          <w:sz w:val="24"/>
          <w:rtl/>
        </w:rPr>
        <w:t xml:space="preserve">קיבל </w:t>
      </w:r>
      <w:r w:rsidR="00820748" w:rsidRPr="00106D3A">
        <w:rPr>
          <w:rFonts w:hint="cs"/>
          <w:sz w:val="24"/>
          <w:rtl/>
        </w:rPr>
        <w:lastRenderedPageBreak/>
        <w:t>את הערעור</w:t>
      </w:r>
      <w:r w:rsidR="002415BE" w:rsidRPr="00106D3A">
        <w:rPr>
          <w:rFonts w:hint="cs"/>
          <w:sz w:val="24"/>
          <w:rtl/>
        </w:rPr>
        <w:t>ים</w:t>
      </w:r>
      <w:r w:rsidR="00820748" w:rsidRPr="00106D3A">
        <w:rPr>
          <w:rFonts w:hint="cs"/>
          <w:sz w:val="24"/>
          <w:rtl/>
        </w:rPr>
        <w:t xml:space="preserve"> על פסיקות אלה, אך לא מן הטעם שבתי המשפט המחוזיים לא היו מוסמכים לתתן, אלא עקב מחלוקת משפטית מהותית ביחס ל</w:t>
      </w:r>
      <w:r w:rsidR="000A4098" w:rsidRPr="00106D3A">
        <w:rPr>
          <w:rFonts w:hint="cs"/>
          <w:sz w:val="24"/>
          <w:rtl/>
        </w:rPr>
        <w:t xml:space="preserve">קיום </w:t>
      </w:r>
      <w:r w:rsidR="00820748" w:rsidRPr="00106D3A">
        <w:rPr>
          <w:rFonts w:hint="cs"/>
          <w:sz w:val="24"/>
          <w:rtl/>
        </w:rPr>
        <w:t xml:space="preserve">דרישותיה של פסקת ההגבלה. </w:t>
      </w:r>
    </w:p>
    <w:p w:rsidR="0044321E" w:rsidRPr="00106D3A" w:rsidRDefault="009C796A" w:rsidP="00C60780">
      <w:pPr>
        <w:ind w:firstLine="720"/>
        <w:jc w:val="both"/>
        <w:rPr>
          <w:sz w:val="24"/>
          <w:rtl/>
        </w:rPr>
      </w:pPr>
      <w:r w:rsidRPr="00106D3A">
        <w:rPr>
          <w:rFonts w:hint="cs"/>
          <w:sz w:val="24"/>
          <w:rtl/>
        </w:rPr>
        <w:t>בפסק דין בנק המזרחי</w:t>
      </w:r>
      <w:r w:rsidR="001E3B6A" w:rsidRPr="00106D3A">
        <w:rPr>
          <w:rFonts w:hint="cs"/>
          <w:sz w:val="24"/>
          <w:rtl/>
        </w:rPr>
        <w:t xml:space="preserve">, בו הוכרה באופן מפורש </w:t>
      </w:r>
      <w:r w:rsidRPr="00106D3A">
        <w:rPr>
          <w:rFonts w:hint="cs"/>
          <w:sz w:val="24"/>
          <w:rtl/>
        </w:rPr>
        <w:t xml:space="preserve">סמכות הביקורת השיפוטית, כמעט ולא נדונה </w:t>
      </w:r>
      <w:r w:rsidR="003C4CBE" w:rsidRPr="00106D3A">
        <w:rPr>
          <w:rFonts w:hint="cs"/>
          <w:sz w:val="24"/>
          <w:rtl/>
        </w:rPr>
        <w:t>ההבחנה בין ביזוריות וריכוזיות. שופטי הרוב</w:t>
      </w:r>
      <w:r w:rsidR="00144C5D" w:rsidRPr="00106D3A">
        <w:rPr>
          <w:rFonts w:hint="cs"/>
          <w:sz w:val="24"/>
          <w:rtl/>
        </w:rPr>
        <w:t>, מ</w:t>
      </w:r>
      <w:r w:rsidR="003C4CBE" w:rsidRPr="00106D3A">
        <w:rPr>
          <w:rFonts w:hint="cs"/>
          <w:sz w:val="24"/>
          <w:rtl/>
        </w:rPr>
        <w:t>שלא עסקו כלל בשאלת הסמכות של בתי המשפט המחוזיים לפסוק כפי שפסקו</w:t>
      </w:r>
      <w:r w:rsidR="00144C5D" w:rsidRPr="00106D3A">
        <w:rPr>
          <w:rFonts w:hint="cs"/>
          <w:sz w:val="24"/>
          <w:rtl/>
        </w:rPr>
        <w:t>,</w:t>
      </w:r>
      <w:r w:rsidR="007603E4" w:rsidRPr="00106D3A">
        <w:rPr>
          <w:rFonts w:hint="cs"/>
          <w:sz w:val="24"/>
          <w:rtl/>
        </w:rPr>
        <w:t xml:space="preserve"> ומשביססו את ההלכה על </w:t>
      </w:r>
      <w:r w:rsidR="00154F58" w:rsidRPr="00106D3A">
        <w:rPr>
          <w:rFonts w:hint="cs"/>
          <w:sz w:val="24"/>
          <w:rtl/>
        </w:rPr>
        <w:t xml:space="preserve">התפיסה </w:t>
      </w:r>
      <w:r w:rsidR="007603E4" w:rsidRPr="00106D3A">
        <w:rPr>
          <w:rFonts w:hint="cs"/>
          <w:sz w:val="24"/>
          <w:rtl/>
        </w:rPr>
        <w:t xml:space="preserve">לפיה </w:t>
      </w:r>
      <w:r w:rsidR="00C31A86" w:rsidRPr="00106D3A">
        <w:rPr>
          <w:rFonts w:hint="cs"/>
          <w:sz w:val="24"/>
          <w:rtl/>
        </w:rPr>
        <w:t xml:space="preserve">חוקי-היסוד הם נורמות משפטיות לכל דבר, </w:t>
      </w:r>
      <w:r w:rsidR="003C4CBE" w:rsidRPr="00106D3A">
        <w:rPr>
          <w:rFonts w:hint="cs"/>
          <w:sz w:val="24"/>
          <w:rtl/>
        </w:rPr>
        <w:t xml:space="preserve">קבעו במשתמע ששיטתנו היא ביזורית. </w:t>
      </w:r>
      <w:r w:rsidR="00F423E2" w:rsidRPr="00106D3A">
        <w:rPr>
          <w:rFonts w:hint="cs"/>
          <w:sz w:val="24"/>
          <w:rtl/>
        </w:rPr>
        <w:t>ואמנם בפסק הדין של הנשיא ברק נאמר ש"</w:t>
      </w:r>
      <w:r w:rsidR="00F423E2" w:rsidRPr="00106D3A">
        <w:rPr>
          <w:sz w:val="24"/>
          <w:rtl/>
        </w:rPr>
        <w:t>הסמכות לקבוע את דבר אי החוקתיות נתונה לבתי המשפט</w:t>
      </w:r>
      <w:r w:rsidR="00F423E2" w:rsidRPr="00106D3A">
        <w:rPr>
          <w:rFonts w:hint="cs"/>
          <w:sz w:val="24"/>
          <w:rtl/>
        </w:rPr>
        <w:t>"</w:t>
      </w:r>
      <w:r w:rsidR="00F423E2" w:rsidRPr="00106D3A">
        <w:rPr>
          <w:rStyle w:val="FootnoteReference"/>
          <w:sz w:val="24"/>
          <w:rtl/>
        </w:rPr>
        <w:footnoteReference w:id="20"/>
      </w:r>
      <w:r w:rsidR="00F423E2" w:rsidRPr="00106D3A">
        <w:rPr>
          <w:rFonts w:hint="cs"/>
          <w:sz w:val="24"/>
          <w:rtl/>
        </w:rPr>
        <w:t xml:space="preserve"> (לשון רבים)</w:t>
      </w:r>
      <w:r w:rsidR="002B6881" w:rsidRPr="00106D3A">
        <w:rPr>
          <w:rFonts w:hint="cs"/>
          <w:sz w:val="24"/>
          <w:rtl/>
        </w:rPr>
        <w:t>, גם אם מבלי להרחיב בדבר.</w:t>
      </w:r>
      <w:r w:rsidR="007B1B89" w:rsidRPr="00106D3A">
        <w:rPr>
          <w:rFonts w:hint="cs"/>
          <w:sz w:val="24"/>
          <w:rtl/>
        </w:rPr>
        <w:t xml:space="preserve"> </w:t>
      </w:r>
      <w:r w:rsidR="0039113E" w:rsidRPr="00106D3A">
        <w:rPr>
          <w:rFonts w:hint="cs"/>
          <w:sz w:val="24"/>
          <w:rtl/>
        </w:rPr>
        <w:t xml:space="preserve">כך הבין את הדברים גם שופט המיעוט, השופט חשין, שהיה היחיד להתייחס לנושא </w:t>
      </w:r>
      <w:r w:rsidR="007B1B89" w:rsidRPr="00106D3A">
        <w:rPr>
          <w:rFonts w:hint="cs"/>
          <w:sz w:val="24"/>
          <w:rtl/>
        </w:rPr>
        <w:t>בציינו</w:t>
      </w:r>
      <w:r w:rsidR="0039113E" w:rsidRPr="00106D3A">
        <w:rPr>
          <w:rFonts w:hint="cs"/>
          <w:sz w:val="24"/>
          <w:rtl/>
        </w:rPr>
        <w:t xml:space="preserve"> </w:t>
      </w:r>
      <w:r w:rsidR="00EB0944" w:rsidRPr="00106D3A">
        <w:rPr>
          <w:rFonts w:hint="cs"/>
          <w:sz w:val="24"/>
          <w:rtl/>
        </w:rPr>
        <w:t>ש</w:t>
      </w:r>
      <w:r w:rsidR="0039113E" w:rsidRPr="00106D3A">
        <w:rPr>
          <w:rFonts w:hint="cs"/>
          <w:sz w:val="24"/>
          <w:rtl/>
        </w:rPr>
        <w:t xml:space="preserve">מדעות שופטי הרוב </w:t>
      </w:r>
      <w:r w:rsidR="00EB0944" w:rsidRPr="00106D3A">
        <w:rPr>
          <w:rFonts w:hint="cs"/>
          <w:sz w:val="24"/>
          <w:rtl/>
        </w:rPr>
        <w:t xml:space="preserve">עולה </w:t>
      </w:r>
      <w:r w:rsidR="0039113E" w:rsidRPr="00106D3A">
        <w:rPr>
          <w:rFonts w:hint="cs"/>
          <w:sz w:val="24"/>
          <w:rtl/>
        </w:rPr>
        <w:t>"ו</w:t>
      </w:r>
      <w:r w:rsidR="0039113E" w:rsidRPr="00106D3A">
        <w:rPr>
          <w:sz w:val="24"/>
          <w:rtl/>
        </w:rPr>
        <w:t xml:space="preserve">לו במשתמע, כי כל בתי המשפט בארץ – </w:t>
      </w:r>
      <w:proofErr w:type="spellStart"/>
      <w:r w:rsidR="0039113E" w:rsidRPr="00106D3A">
        <w:rPr>
          <w:sz w:val="24"/>
          <w:rtl/>
        </w:rPr>
        <w:t>למקטון</w:t>
      </w:r>
      <w:proofErr w:type="spellEnd"/>
      <w:r w:rsidR="0039113E" w:rsidRPr="00106D3A">
        <w:rPr>
          <w:sz w:val="24"/>
          <w:rtl/>
        </w:rPr>
        <w:t xml:space="preserve"> ועד גדול – כולם מוסמכים הם לפסול חוקים של כנסת</w:t>
      </w:r>
      <w:r w:rsidR="0039113E" w:rsidRPr="00106D3A">
        <w:rPr>
          <w:rFonts w:hint="cs"/>
          <w:sz w:val="24"/>
          <w:rtl/>
        </w:rPr>
        <w:t>".</w:t>
      </w:r>
      <w:r w:rsidR="003C73CE" w:rsidRPr="00106D3A">
        <w:rPr>
          <w:rStyle w:val="FootnoteReference"/>
          <w:sz w:val="24"/>
          <w:rtl/>
        </w:rPr>
        <w:footnoteReference w:id="21"/>
      </w:r>
      <w:r w:rsidR="0039113E" w:rsidRPr="00106D3A">
        <w:rPr>
          <w:rFonts w:hint="cs"/>
          <w:sz w:val="24"/>
          <w:rtl/>
        </w:rPr>
        <w:t xml:space="preserve"> </w:t>
      </w:r>
      <w:r w:rsidR="003C73CE" w:rsidRPr="00106D3A">
        <w:rPr>
          <w:rFonts w:hint="cs"/>
          <w:sz w:val="24"/>
          <w:rtl/>
        </w:rPr>
        <w:t xml:space="preserve">השופט </w:t>
      </w:r>
      <w:r w:rsidR="007B1B89" w:rsidRPr="00106D3A">
        <w:rPr>
          <w:rFonts w:hint="cs"/>
          <w:sz w:val="24"/>
          <w:rtl/>
        </w:rPr>
        <w:t xml:space="preserve">חשין התנגד גם לתוצאה זו; הוא ציין שראוי להגביל את הסמכות </w:t>
      </w:r>
      <w:r w:rsidR="0044321E" w:rsidRPr="00106D3A">
        <w:rPr>
          <w:rFonts w:hint="cs"/>
          <w:sz w:val="24"/>
          <w:rtl/>
        </w:rPr>
        <w:t>לבית</w:t>
      </w:r>
      <w:r w:rsidR="003C73CE" w:rsidRPr="00106D3A">
        <w:rPr>
          <w:rFonts w:hint="cs"/>
          <w:sz w:val="24"/>
          <w:rtl/>
        </w:rPr>
        <w:t xml:space="preserve"> המשפט </w:t>
      </w:r>
      <w:r w:rsidR="00545736" w:rsidRPr="00106D3A">
        <w:rPr>
          <w:rFonts w:hint="cs"/>
          <w:sz w:val="24"/>
          <w:rtl/>
        </w:rPr>
        <w:t>הגבוה לצדק בלבד, תוך שצפה כי "עוד נכונו לנו עלילות".</w:t>
      </w:r>
      <w:r w:rsidR="002554B2" w:rsidRPr="00106D3A">
        <w:rPr>
          <w:rStyle w:val="FootnoteReference"/>
          <w:sz w:val="24"/>
          <w:rtl/>
        </w:rPr>
        <w:footnoteReference w:id="22"/>
      </w:r>
      <w:r w:rsidR="00545736" w:rsidRPr="00106D3A">
        <w:rPr>
          <w:rFonts w:hint="cs"/>
          <w:sz w:val="24"/>
          <w:rtl/>
        </w:rPr>
        <w:t xml:space="preserve"> כפי שנראה </w:t>
      </w:r>
      <w:r w:rsidR="00024988" w:rsidRPr="00106D3A">
        <w:rPr>
          <w:rFonts w:hint="cs"/>
          <w:sz w:val="24"/>
          <w:rtl/>
        </w:rPr>
        <w:t xml:space="preserve">עמדתו של חשין היא שמומשה למעשה, גם אם לא להלכה. </w:t>
      </w:r>
    </w:p>
    <w:p w:rsidR="00017587" w:rsidRPr="00106D3A" w:rsidRDefault="00017587" w:rsidP="005E0049">
      <w:pPr>
        <w:ind w:firstLine="720"/>
        <w:jc w:val="both"/>
        <w:rPr>
          <w:sz w:val="24"/>
          <w:rtl/>
        </w:rPr>
      </w:pPr>
      <w:r w:rsidRPr="00106D3A">
        <w:rPr>
          <w:rFonts w:hint="cs"/>
          <w:sz w:val="24"/>
          <w:rtl/>
        </w:rPr>
        <w:t xml:space="preserve">בשורה של פסיקות מאז הלכת בנק המזרחי אישש בית המשפט העליון את המסקנה שבישראל נוהגת שיטה ביזורית. </w:t>
      </w:r>
      <w:r w:rsidR="004C3E8C" w:rsidRPr="00106D3A">
        <w:rPr>
          <w:rFonts w:hint="cs"/>
          <w:sz w:val="24"/>
          <w:rtl/>
        </w:rPr>
        <w:t>הדבר נלמד</w:t>
      </w:r>
      <w:r w:rsidR="00192AB7" w:rsidRPr="00106D3A">
        <w:rPr>
          <w:rFonts w:hint="cs"/>
          <w:sz w:val="24"/>
          <w:rtl/>
        </w:rPr>
        <w:t>, ראשית, ממקרים נוספים דוגמת בנק המזרחי, בהם דן בית המשפט העליון בערעורים על הכרעות חוקתיות של ערכאות הדיון, וזאת מבלי לכפור בסמכותם של בתי המשפט הנמוכים לעסוק בשאלות של תוקף חוקתי.</w:t>
      </w:r>
      <w:bookmarkStart w:id="10" w:name="_Ref365893855"/>
      <w:r w:rsidR="00B80D9A" w:rsidRPr="00106D3A">
        <w:rPr>
          <w:rStyle w:val="FootnoteReference"/>
          <w:sz w:val="24"/>
          <w:rtl/>
        </w:rPr>
        <w:footnoteReference w:id="23"/>
      </w:r>
      <w:bookmarkEnd w:id="10"/>
      <w:r w:rsidR="00192AB7" w:rsidRPr="00106D3A">
        <w:rPr>
          <w:rFonts w:hint="cs"/>
          <w:sz w:val="24"/>
          <w:rtl/>
        </w:rPr>
        <w:t xml:space="preserve"> </w:t>
      </w:r>
      <w:r w:rsidR="00627B61" w:rsidRPr="00106D3A">
        <w:rPr>
          <w:rFonts w:hint="cs"/>
          <w:sz w:val="24"/>
          <w:rtl/>
        </w:rPr>
        <w:t xml:space="preserve">יתרה מכך, בלא מעט מקרים בחר בית המשפט העליון שלא להפעיל את סמכותו כבג"ץ, </w:t>
      </w:r>
      <w:r w:rsidR="005746E5" w:rsidRPr="00106D3A">
        <w:rPr>
          <w:rFonts w:hint="cs"/>
          <w:sz w:val="24"/>
          <w:rtl/>
        </w:rPr>
        <w:t xml:space="preserve">ובאמצעות דוקטרינת הסף בדבר קיומו של "סעד חלופי" הפנה </w:t>
      </w:r>
      <w:r w:rsidR="00627B61" w:rsidRPr="00106D3A">
        <w:rPr>
          <w:rFonts w:hint="cs"/>
          <w:sz w:val="24"/>
          <w:rtl/>
        </w:rPr>
        <w:t>עותרים שהעלו טענות חוקתיות לברר</w:t>
      </w:r>
      <w:r w:rsidR="005E0049" w:rsidRPr="00106D3A">
        <w:rPr>
          <w:rFonts w:hint="cs"/>
          <w:sz w:val="24"/>
          <w:rtl/>
        </w:rPr>
        <w:t>ן</w:t>
      </w:r>
      <w:r w:rsidR="00627B61" w:rsidRPr="00106D3A">
        <w:rPr>
          <w:rFonts w:hint="cs"/>
          <w:sz w:val="24"/>
          <w:rtl/>
        </w:rPr>
        <w:t xml:space="preserve"> במסגרת תקיפה עקיפה בערכאות הדיון.</w:t>
      </w:r>
      <w:bookmarkStart w:id="11" w:name="_Ref365886608"/>
      <w:r w:rsidR="00BF5834" w:rsidRPr="00106D3A">
        <w:rPr>
          <w:rStyle w:val="FootnoteReference"/>
          <w:sz w:val="24"/>
          <w:rtl/>
        </w:rPr>
        <w:footnoteReference w:id="24"/>
      </w:r>
      <w:bookmarkEnd w:id="11"/>
      <w:r w:rsidR="00627B61" w:rsidRPr="00106D3A">
        <w:rPr>
          <w:rFonts w:hint="cs"/>
          <w:sz w:val="24"/>
          <w:rtl/>
        </w:rPr>
        <w:t xml:space="preserve"> </w:t>
      </w:r>
      <w:r w:rsidR="00CC5411" w:rsidRPr="00106D3A">
        <w:rPr>
          <w:rFonts w:hint="cs"/>
          <w:sz w:val="24"/>
          <w:rtl/>
        </w:rPr>
        <w:t>באחת מ</w:t>
      </w:r>
      <w:r w:rsidR="00561732" w:rsidRPr="00106D3A">
        <w:rPr>
          <w:rFonts w:hint="cs"/>
          <w:sz w:val="24"/>
          <w:rtl/>
        </w:rPr>
        <w:t xml:space="preserve">אותן פרשות קבע הנשיא ברק באופן </w:t>
      </w:r>
      <w:r w:rsidR="00CC5411" w:rsidRPr="00106D3A">
        <w:rPr>
          <w:rFonts w:hint="cs"/>
          <w:sz w:val="24"/>
          <w:rtl/>
        </w:rPr>
        <w:t xml:space="preserve">מפורש כי </w:t>
      </w:r>
      <w:r w:rsidR="00EA497F" w:rsidRPr="00106D3A">
        <w:rPr>
          <w:rFonts w:hint="cs"/>
          <w:sz w:val="24"/>
          <w:rtl/>
        </w:rPr>
        <w:t>"</w:t>
      </w:r>
      <w:r w:rsidR="00561732" w:rsidRPr="00106D3A">
        <w:rPr>
          <w:sz w:val="24"/>
          <w:rtl/>
        </w:rPr>
        <w:t xml:space="preserve">בתי המשפט האזרחיים מוסמכים, במסגרתן של תביעות נזיקין ספציפיות, לבחון טענות כנגד חוקתיות </w:t>
      </w:r>
      <w:r w:rsidR="00561732" w:rsidRPr="00106D3A">
        <w:rPr>
          <w:rFonts w:hint="cs"/>
          <w:sz w:val="24"/>
          <w:rtl/>
        </w:rPr>
        <w:t>[חוק]".</w:t>
      </w:r>
      <w:bookmarkStart w:id="13" w:name="_Ref373312155"/>
      <w:r w:rsidR="00E14B17" w:rsidRPr="00106D3A">
        <w:rPr>
          <w:rStyle w:val="FootnoteReference"/>
          <w:sz w:val="24"/>
          <w:rtl/>
        </w:rPr>
        <w:footnoteReference w:id="25"/>
      </w:r>
      <w:bookmarkEnd w:id="13"/>
      <w:r w:rsidR="00561732" w:rsidRPr="00106D3A">
        <w:rPr>
          <w:rFonts w:hint="cs"/>
          <w:sz w:val="24"/>
          <w:rtl/>
        </w:rPr>
        <w:t xml:space="preserve"> </w:t>
      </w:r>
      <w:r w:rsidR="000250E3" w:rsidRPr="00106D3A">
        <w:rPr>
          <w:rFonts w:hint="cs"/>
          <w:sz w:val="24"/>
          <w:rtl/>
        </w:rPr>
        <w:t>בה בעת, לפחות פעם אחת קבע בית המשפט העליון ש"</w:t>
      </w:r>
      <w:r w:rsidR="000250E3" w:rsidRPr="00106D3A">
        <w:rPr>
          <w:sz w:val="24"/>
          <w:rtl/>
        </w:rPr>
        <w:t>שאלת סמכותה של ערכאה דיונית רגילה לדון ולהחליט בשאלת חוקתיות הוראת חוק ראשית הינה שאלה מורכבת</w:t>
      </w:r>
      <w:r w:rsidR="000250E3" w:rsidRPr="00106D3A">
        <w:rPr>
          <w:rFonts w:hint="cs"/>
          <w:sz w:val="24"/>
          <w:rtl/>
        </w:rPr>
        <w:t>" המצריכה עיון שיבוא עתו.</w:t>
      </w:r>
      <w:bookmarkStart w:id="14" w:name="_Ref365893684"/>
      <w:r w:rsidR="000250E3" w:rsidRPr="00106D3A">
        <w:rPr>
          <w:rStyle w:val="FootnoteReference"/>
          <w:sz w:val="24"/>
          <w:rtl/>
        </w:rPr>
        <w:footnoteReference w:id="26"/>
      </w:r>
      <w:bookmarkEnd w:id="14"/>
      <w:r w:rsidR="000250E3" w:rsidRPr="00106D3A">
        <w:rPr>
          <w:rFonts w:hint="cs"/>
          <w:sz w:val="24"/>
          <w:rtl/>
        </w:rPr>
        <w:t xml:space="preserve"> </w:t>
      </w:r>
      <w:r w:rsidR="00800906" w:rsidRPr="00106D3A">
        <w:rPr>
          <w:rFonts w:hint="cs"/>
          <w:sz w:val="24"/>
          <w:rtl/>
        </w:rPr>
        <w:t>אף ש</w:t>
      </w:r>
      <w:r w:rsidR="005177D9" w:rsidRPr="00106D3A">
        <w:rPr>
          <w:rFonts w:hint="cs"/>
          <w:sz w:val="24"/>
          <w:rtl/>
        </w:rPr>
        <w:t xml:space="preserve">בית המשפט העליון מעולם לא </w:t>
      </w:r>
      <w:r w:rsidR="00800906" w:rsidRPr="00106D3A">
        <w:rPr>
          <w:rFonts w:hint="cs"/>
          <w:sz w:val="24"/>
          <w:rtl/>
        </w:rPr>
        <w:t xml:space="preserve">קיים דיון מפורט ומפורש בשאלה זו, </w:t>
      </w:r>
      <w:r w:rsidR="00515C6D" w:rsidRPr="00106D3A">
        <w:rPr>
          <w:rFonts w:hint="cs"/>
          <w:sz w:val="24"/>
          <w:rtl/>
        </w:rPr>
        <w:t xml:space="preserve">אין כאמור ספק שהפרקטיקה החוקתית המעשית שלו מצביעה על הכרה גורפת ברכיב הביזורי של השיטה החוקתית הישראלית. </w:t>
      </w:r>
    </w:p>
    <w:p w:rsidR="00344761" w:rsidRPr="00106D3A" w:rsidRDefault="00623EF8" w:rsidP="009B4F5A">
      <w:pPr>
        <w:ind w:firstLine="720"/>
        <w:jc w:val="both"/>
        <w:rPr>
          <w:sz w:val="24"/>
          <w:rtl/>
        </w:rPr>
      </w:pPr>
      <w:r w:rsidRPr="00106D3A">
        <w:rPr>
          <w:rFonts w:hint="cs"/>
          <w:sz w:val="24"/>
          <w:rtl/>
        </w:rPr>
        <w:t xml:space="preserve">ואמנם, </w:t>
      </w:r>
      <w:r w:rsidR="00DE5859" w:rsidRPr="00106D3A">
        <w:rPr>
          <w:rFonts w:hint="cs"/>
          <w:sz w:val="24"/>
          <w:rtl/>
        </w:rPr>
        <w:t xml:space="preserve">מאז </w:t>
      </w:r>
      <w:r w:rsidR="005538E9" w:rsidRPr="00106D3A">
        <w:rPr>
          <w:rFonts w:hint="cs"/>
          <w:sz w:val="24"/>
          <w:rtl/>
        </w:rPr>
        <w:t xml:space="preserve">1992 </w:t>
      </w:r>
      <w:r w:rsidR="00DE5859" w:rsidRPr="00106D3A">
        <w:rPr>
          <w:rFonts w:hint="cs"/>
          <w:sz w:val="24"/>
          <w:rtl/>
        </w:rPr>
        <w:t xml:space="preserve">אכן </w:t>
      </w:r>
      <w:r w:rsidR="00E95E50" w:rsidRPr="00106D3A">
        <w:rPr>
          <w:rFonts w:hint="cs"/>
          <w:sz w:val="24"/>
          <w:rtl/>
        </w:rPr>
        <w:t>מובאות</w:t>
      </w:r>
      <w:r w:rsidR="00DE5859" w:rsidRPr="00106D3A">
        <w:rPr>
          <w:rFonts w:hint="cs"/>
          <w:sz w:val="24"/>
          <w:rtl/>
        </w:rPr>
        <w:t xml:space="preserve"> בפני ערכאות הדיון השונות טענות חוקתיות רבות. </w:t>
      </w:r>
      <w:r w:rsidR="00143F01" w:rsidRPr="00106D3A">
        <w:rPr>
          <w:rFonts w:hint="cs"/>
          <w:sz w:val="24"/>
          <w:rtl/>
        </w:rPr>
        <w:t xml:space="preserve">מחקר אמפירי בנושא נמצא עדיין בראשיתו, אך התמונה המצטיירת מאיסוף ראשוני של מקרים מצביעה </w:t>
      </w:r>
      <w:r w:rsidR="00143F01" w:rsidRPr="00106D3A">
        <w:rPr>
          <w:rFonts w:hint="cs"/>
          <w:sz w:val="24"/>
          <w:rtl/>
        </w:rPr>
        <w:lastRenderedPageBreak/>
        <w:t xml:space="preserve">על כך שבתי </w:t>
      </w:r>
      <w:r w:rsidR="00C95344" w:rsidRPr="00106D3A">
        <w:rPr>
          <w:rFonts w:hint="cs"/>
          <w:sz w:val="24"/>
          <w:rtl/>
        </w:rPr>
        <w:t xml:space="preserve">המשפט השונים נוטים ככלל לדחות את הטענות החוקתיות. </w:t>
      </w:r>
      <w:r w:rsidR="00351A49" w:rsidRPr="00106D3A">
        <w:rPr>
          <w:rFonts w:hint="cs"/>
          <w:sz w:val="24"/>
          <w:rtl/>
        </w:rPr>
        <w:t>חלק</w:t>
      </w:r>
      <w:r w:rsidR="004A28D0" w:rsidRPr="00106D3A">
        <w:rPr>
          <w:rFonts w:hint="cs"/>
          <w:sz w:val="24"/>
          <w:rtl/>
        </w:rPr>
        <w:t xml:space="preserve"> מן הדחיות נעשות לגופם של דברים, כלומר באמצעות יישום הדוקטרינה החוקתית שפותחה על ידי בית המשפט העליון ובקביעה </w:t>
      </w:r>
      <w:r w:rsidR="001E1A41" w:rsidRPr="00106D3A">
        <w:rPr>
          <w:rFonts w:hint="cs"/>
          <w:sz w:val="24"/>
          <w:rtl/>
        </w:rPr>
        <w:t xml:space="preserve">שהחוק </w:t>
      </w:r>
      <w:r w:rsidR="004A28D0" w:rsidRPr="00106D3A">
        <w:rPr>
          <w:rFonts w:hint="cs"/>
          <w:sz w:val="24"/>
          <w:rtl/>
        </w:rPr>
        <w:t>הרלוונטי אינו פוגע באופן אסור בהוראות חוק-היסוד</w:t>
      </w:r>
      <w:r w:rsidR="009B4F5A" w:rsidRPr="00106D3A">
        <w:rPr>
          <w:rFonts w:hint="cs"/>
          <w:sz w:val="24"/>
          <w:rtl/>
        </w:rPr>
        <w:t xml:space="preserve"> (אינו פוגע בזכות או פוגע אך מקיים את דרישות פסקת ההגבלה)</w:t>
      </w:r>
      <w:r w:rsidR="004A28D0" w:rsidRPr="00106D3A">
        <w:rPr>
          <w:rFonts w:hint="cs"/>
          <w:sz w:val="24"/>
          <w:rtl/>
        </w:rPr>
        <w:t>.</w:t>
      </w:r>
      <w:bookmarkStart w:id="15" w:name="_Ref365893701"/>
      <w:r w:rsidR="00C2296E" w:rsidRPr="00106D3A">
        <w:rPr>
          <w:rStyle w:val="FootnoteReference"/>
          <w:sz w:val="24"/>
          <w:rtl/>
        </w:rPr>
        <w:footnoteReference w:id="27"/>
      </w:r>
      <w:bookmarkEnd w:id="15"/>
      <w:r w:rsidR="004A28D0" w:rsidRPr="00106D3A">
        <w:rPr>
          <w:rFonts w:hint="cs"/>
          <w:sz w:val="24"/>
          <w:rtl/>
        </w:rPr>
        <w:t xml:space="preserve"> </w:t>
      </w:r>
      <w:r w:rsidR="00273FCC" w:rsidRPr="00106D3A">
        <w:rPr>
          <w:rFonts w:hint="cs"/>
          <w:sz w:val="24"/>
          <w:rtl/>
        </w:rPr>
        <w:t xml:space="preserve">בכמה מקרים כוללות החלטות אלה גם דיון מפורט המוביל להכרעה מנומקת </w:t>
      </w:r>
      <w:r w:rsidR="00182386" w:rsidRPr="00106D3A">
        <w:rPr>
          <w:rFonts w:hint="cs"/>
          <w:sz w:val="24"/>
          <w:rtl/>
        </w:rPr>
        <w:t xml:space="preserve">בדבר </w:t>
      </w:r>
      <w:r w:rsidR="00273FCC" w:rsidRPr="00106D3A">
        <w:rPr>
          <w:rFonts w:hint="cs"/>
          <w:sz w:val="24"/>
          <w:rtl/>
        </w:rPr>
        <w:t>סמכותו של בית המשפט לקיים ביקורת שיפוטית.</w:t>
      </w:r>
      <w:r w:rsidR="009362AC" w:rsidRPr="00106D3A">
        <w:rPr>
          <w:rStyle w:val="FootnoteReference"/>
          <w:sz w:val="24"/>
          <w:rtl/>
        </w:rPr>
        <w:footnoteReference w:id="28"/>
      </w:r>
      <w:r w:rsidR="00273FCC" w:rsidRPr="00106D3A">
        <w:rPr>
          <w:rFonts w:hint="cs"/>
          <w:sz w:val="24"/>
          <w:rtl/>
        </w:rPr>
        <w:t xml:space="preserve"> </w:t>
      </w:r>
    </w:p>
    <w:p w:rsidR="00351A49" w:rsidRPr="00106D3A" w:rsidRDefault="004633FA" w:rsidP="00B130EB">
      <w:pPr>
        <w:ind w:firstLine="720"/>
        <w:jc w:val="both"/>
        <w:rPr>
          <w:sz w:val="24"/>
          <w:rtl/>
        </w:rPr>
      </w:pPr>
      <w:r w:rsidRPr="00106D3A">
        <w:rPr>
          <w:rFonts w:hint="cs"/>
          <w:sz w:val="24"/>
          <w:rtl/>
        </w:rPr>
        <w:t xml:space="preserve">עם זאת, </w:t>
      </w:r>
      <w:r w:rsidR="00F7764F" w:rsidRPr="00106D3A">
        <w:rPr>
          <w:rFonts w:hint="cs"/>
          <w:sz w:val="24"/>
          <w:rtl/>
        </w:rPr>
        <w:t xml:space="preserve">חלק אחר </w:t>
      </w:r>
      <w:r w:rsidRPr="00106D3A">
        <w:rPr>
          <w:rFonts w:hint="cs"/>
          <w:sz w:val="24"/>
          <w:rtl/>
        </w:rPr>
        <w:t xml:space="preserve">מן ההחלטות הדוחות </w:t>
      </w:r>
      <w:r w:rsidR="00EF7113" w:rsidRPr="00106D3A">
        <w:rPr>
          <w:rFonts w:hint="cs"/>
          <w:sz w:val="24"/>
          <w:rtl/>
        </w:rPr>
        <w:t xml:space="preserve">טענות </w:t>
      </w:r>
      <w:r w:rsidRPr="00106D3A">
        <w:rPr>
          <w:rFonts w:hint="cs"/>
          <w:sz w:val="24"/>
          <w:rtl/>
        </w:rPr>
        <w:t xml:space="preserve">לביקורת </w:t>
      </w:r>
      <w:r w:rsidR="009453DF" w:rsidRPr="00106D3A">
        <w:rPr>
          <w:rFonts w:hint="cs"/>
          <w:sz w:val="24"/>
          <w:rtl/>
        </w:rPr>
        <w:t xml:space="preserve">שיפוטית </w:t>
      </w:r>
      <w:r w:rsidR="00B130EB" w:rsidRPr="00106D3A">
        <w:rPr>
          <w:rFonts w:hint="cs"/>
          <w:sz w:val="24"/>
          <w:rtl/>
        </w:rPr>
        <w:t>עושות</w:t>
      </w:r>
      <w:r w:rsidRPr="00106D3A">
        <w:rPr>
          <w:rFonts w:hint="cs"/>
          <w:sz w:val="24"/>
          <w:rtl/>
        </w:rPr>
        <w:t xml:space="preserve"> זאת מתוך תפיסה מוסדית המעדיפה ששאלות חוקתיות יתבררו בבית המשפט העליון, ולא בערכאת הדיון. בקבוצה זו קיימות אמירות לפיהן ערכאות הדיון כלל אינן מוסמכות להורות על בטלותה של חקיקה ראשית</w:t>
      </w:r>
      <w:r w:rsidR="009A4AB1" w:rsidRPr="00106D3A">
        <w:rPr>
          <w:rFonts w:hint="cs"/>
          <w:sz w:val="24"/>
          <w:rtl/>
        </w:rPr>
        <w:t xml:space="preserve"> </w:t>
      </w:r>
      <w:r w:rsidR="009A4AB1" w:rsidRPr="00106D3A">
        <w:rPr>
          <w:sz w:val="24"/>
          <w:rtl/>
        </w:rPr>
        <w:t>–</w:t>
      </w:r>
      <w:r w:rsidR="009573B0" w:rsidRPr="00106D3A">
        <w:rPr>
          <w:rFonts w:hint="cs"/>
          <w:sz w:val="24"/>
          <w:rtl/>
        </w:rPr>
        <w:t xml:space="preserve"> </w:t>
      </w:r>
      <w:r w:rsidR="00B130EB" w:rsidRPr="00106D3A">
        <w:rPr>
          <w:rFonts w:hint="cs"/>
          <w:sz w:val="24"/>
          <w:rtl/>
        </w:rPr>
        <w:t xml:space="preserve">בין </w:t>
      </w:r>
      <w:r w:rsidR="009A4AB1" w:rsidRPr="00106D3A">
        <w:rPr>
          <w:rFonts w:hint="cs"/>
          <w:sz w:val="24"/>
          <w:rtl/>
        </w:rPr>
        <w:t>בשום מקרה</w:t>
      </w:r>
      <w:bookmarkStart w:id="16" w:name="_Ref373312350"/>
      <w:r w:rsidR="00E12BB1" w:rsidRPr="00106D3A">
        <w:rPr>
          <w:rStyle w:val="FootnoteReference"/>
          <w:sz w:val="24"/>
          <w:rtl/>
        </w:rPr>
        <w:footnoteReference w:id="29"/>
      </w:r>
      <w:bookmarkEnd w:id="16"/>
      <w:r w:rsidRPr="00106D3A">
        <w:rPr>
          <w:rFonts w:hint="cs"/>
          <w:sz w:val="24"/>
          <w:rtl/>
        </w:rPr>
        <w:t xml:space="preserve"> </w:t>
      </w:r>
      <w:r w:rsidR="00B130EB" w:rsidRPr="00106D3A">
        <w:rPr>
          <w:rFonts w:hint="cs"/>
          <w:sz w:val="24"/>
          <w:rtl/>
        </w:rPr>
        <w:t>ובין בתקיפה ישירה</w:t>
      </w:r>
      <w:bookmarkStart w:id="17" w:name="_Ref365893717"/>
      <w:r w:rsidR="00B130EB" w:rsidRPr="00106D3A">
        <w:rPr>
          <w:rStyle w:val="FootnoteReference"/>
          <w:sz w:val="24"/>
          <w:rtl/>
        </w:rPr>
        <w:footnoteReference w:id="30"/>
      </w:r>
      <w:bookmarkEnd w:id="17"/>
      <w:r w:rsidR="00B130EB" w:rsidRPr="00106D3A">
        <w:rPr>
          <w:rFonts w:hint="cs"/>
          <w:sz w:val="24"/>
          <w:rtl/>
        </w:rPr>
        <w:t xml:space="preserve"> </w:t>
      </w:r>
      <w:r w:rsidRPr="00106D3A">
        <w:rPr>
          <w:sz w:val="24"/>
          <w:rtl/>
        </w:rPr>
        <w:t>–</w:t>
      </w:r>
      <w:r w:rsidRPr="00106D3A">
        <w:rPr>
          <w:rFonts w:hint="cs"/>
          <w:sz w:val="24"/>
          <w:rtl/>
        </w:rPr>
        <w:t xml:space="preserve"> </w:t>
      </w:r>
      <w:r w:rsidR="009A4AB1" w:rsidRPr="00106D3A">
        <w:rPr>
          <w:rFonts w:hint="cs"/>
          <w:sz w:val="24"/>
          <w:rtl/>
        </w:rPr>
        <w:t xml:space="preserve">לכאורה </w:t>
      </w:r>
      <w:r w:rsidRPr="00106D3A">
        <w:rPr>
          <w:rFonts w:hint="cs"/>
          <w:sz w:val="24"/>
          <w:rtl/>
        </w:rPr>
        <w:t>בסתירה מובהקת ל</w:t>
      </w:r>
      <w:r w:rsidR="00623EF8" w:rsidRPr="00106D3A">
        <w:rPr>
          <w:rFonts w:hint="cs"/>
          <w:sz w:val="24"/>
          <w:rtl/>
        </w:rPr>
        <w:t>עמדת</w:t>
      </w:r>
      <w:r w:rsidR="009A4AB1" w:rsidRPr="00106D3A">
        <w:rPr>
          <w:rFonts w:hint="cs"/>
          <w:sz w:val="24"/>
          <w:rtl/>
        </w:rPr>
        <w:t>ו של</w:t>
      </w:r>
      <w:r w:rsidR="00623EF8" w:rsidRPr="00106D3A">
        <w:rPr>
          <w:rFonts w:hint="cs"/>
          <w:sz w:val="24"/>
          <w:rtl/>
        </w:rPr>
        <w:t xml:space="preserve"> בית המשפט העליון</w:t>
      </w:r>
      <w:r w:rsidR="009A4AB1" w:rsidRPr="00106D3A">
        <w:rPr>
          <w:rFonts w:hint="cs"/>
          <w:sz w:val="24"/>
          <w:rtl/>
        </w:rPr>
        <w:t xml:space="preserve">. </w:t>
      </w:r>
      <w:r w:rsidRPr="00106D3A">
        <w:rPr>
          <w:rFonts w:hint="cs"/>
          <w:sz w:val="24"/>
          <w:rtl/>
        </w:rPr>
        <w:t xml:space="preserve">לצדן </w:t>
      </w:r>
      <w:r w:rsidR="00AB4F2C" w:rsidRPr="00106D3A">
        <w:rPr>
          <w:rFonts w:hint="cs"/>
          <w:sz w:val="24"/>
          <w:rtl/>
        </w:rPr>
        <w:t xml:space="preserve">מופיעות </w:t>
      </w:r>
      <w:r w:rsidRPr="00106D3A">
        <w:rPr>
          <w:rFonts w:hint="cs"/>
          <w:sz w:val="24"/>
          <w:rtl/>
        </w:rPr>
        <w:t>אמירות מתונות יותר לפיהן רצוי שערכאות הדיון יימנעו מהכרעה בנושאים אלה</w:t>
      </w:r>
      <w:r w:rsidR="00344761" w:rsidRPr="00106D3A">
        <w:rPr>
          <w:rFonts w:hint="cs"/>
          <w:sz w:val="24"/>
          <w:rtl/>
        </w:rPr>
        <w:t xml:space="preserve"> (גם אם הן מוסמכות לכך)</w:t>
      </w:r>
      <w:r w:rsidRPr="00106D3A">
        <w:rPr>
          <w:rFonts w:hint="cs"/>
          <w:sz w:val="24"/>
          <w:rtl/>
        </w:rPr>
        <w:t xml:space="preserve"> ושהמסלול המתאים לבירורן הוא עתירה לבג"ץ.</w:t>
      </w:r>
      <w:r w:rsidR="00FD5B47" w:rsidRPr="00106D3A">
        <w:rPr>
          <w:rStyle w:val="FootnoteReference"/>
          <w:sz w:val="24"/>
          <w:rtl/>
        </w:rPr>
        <w:footnoteReference w:id="31"/>
      </w:r>
      <w:r w:rsidRPr="00106D3A">
        <w:rPr>
          <w:rFonts w:hint="cs"/>
          <w:sz w:val="24"/>
          <w:rtl/>
        </w:rPr>
        <w:t xml:space="preserve"> </w:t>
      </w:r>
    </w:p>
    <w:p w:rsidR="004701BB" w:rsidRPr="00106D3A" w:rsidRDefault="005538E9" w:rsidP="00FD1037">
      <w:pPr>
        <w:ind w:firstLine="720"/>
        <w:jc w:val="both"/>
        <w:rPr>
          <w:sz w:val="24"/>
          <w:rtl/>
        </w:rPr>
      </w:pPr>
      <w:r w:rsidRPr="00106D3A">
        <w:rPr>
          <w:rFonts w:hint="cs"/>
          <w:sz w:val="24"/>
          <w:rtl/>
        </w:rPr>
        <w:t>נדירים הרבה יותר המקרים הידועים בהם ערכאות דיון החליטו לבטל חוק מחמת אי-חוקתיותו</w:t>
      </w:r>
      <w:r w:rsidR="00E95E50" w:rsidRPr="00106D3A">
        <w:rPr>
          <w:rFonts w:hint="cs"/>
          <w:sz w:val="24"/>
          <w:rtl/>
        </w:rPr>
        <w:t xml:space="preserve">. </w:t>
      </w:r>
      <w:r w:rsidR="0069352A" w:rsidRPr="00106D3A">
        <w:rPr>
          <w:rFonts w:hint="cs"/>
          <w:sz w:val="24"/>
          <w:rtl/>
        </w:rPr>
        <w:t xml:space="preserve">בדיקה ראשונית </w:t>
      </w:r>
      <w:r w:rsidR="0069352A" w:rsidRPr="00106D3A">
        <w:rPr>
          <w:sz w:val="24"/>
          <w:rtl/>
        </w:rPr>
        <w:t>–</w:t>
      </w:r>
      <w:r w:rsidR="0069352A" w:rsidRPr="00106D3A">
        <w:rPr>
          <w:rFonts w:hint="cs"/>
          <w:sz w:val="24"/>
          <w:rtl/>
        </w:rPr>
        <w:t xml:space="preserve"> שאינה מבוססת על סקר אמפירי ממצה אלא על </w:t>
      </w:r>
      <w:r w:rsidR="00225F0E">
        <w:rPr>
          <w:rFonts w:hint="cs"/>
          <w:sz w:val="24"/>
          <w:rtl/>
        </w:rPr>
        <w:t xml:space="preserve">איסוף ראשוני וחיפושים מוצלבים </w:t>
      </w:r>
      <w:r w:rsidR="0069352A" w:rsidRPr="00106D3A">
        <w:rPr>
          <w:sz w:val="24"/>
          <w:rtl/>
        </w:rPr>
        <w:t>–</w:t>
      </w:r>
      <w:r w:rsidR="0069352A" w:rsidRPr="00106D3A">
        <w:rPr>
          <w:rFonts w:hint="cs"/>
          <w:sz w:val="24"/>
          <w:rtl/>
        </w:rPr>
        <w:t xml:space="preserve"> </w:t>
      </w:r>
      <w:r w:rsidR="000E3E3F" w:rsidRPr="00106D3A">
        <w:rPr>
          <w:rFonts w:hint="cs"/>
          <w:sz w:val="24"/>
          <w:rtl/>
        </w:rPr>
        <w:t>מעלה</w:t>
      </w:r>
      <w:r w:rsidR="001B4D7F" w:rsidRPr="00106D3A">
        <w:rPr>
          <w:rFonts w:hint="cs"/>
          <w:sz w:val="24"/>
          <w:rtl/>
        </w:rPr>
        <w:t xml:space="preserve"> </w:t>
      </w:r>
      <w:r w:rsidR="000E3E3F" w:rsidRPr="00106D3A">
        <w:rPr>
          <w:rFonts w:hint="cs"/>
          <w:sz w:val="24"/>
          <w:rtl/>
        </w:rPr>
        <w:t>ש</w:t>
      </w:r>
      <w:r w:rsidR="001B4D7F" w:rsidRPr="00106D3A">
        <w:rPr>
          <w:rFonts w:hint="cs"/>
          <w:sz w:val="24"/>
          <w:rtl/>
        </w:rPr>
        <w:t xml:space="preserve">מספר ההחלטות המוכרות מסוג זה </w:t>
      </w:r>
      <w:r w:rsidR="003057A1" w:rsidRPr="00106D3A">
        <w:rPr>
          <w:rFonts w:hint="cs"/>
          <w:sz w:val="24"/>
          <w:rtl/>
        </w:rPr>
        <w:t>אינו עולה על עשרה.</w:t>
      </w:r>
      <w:bookmarkStart w:id="18" w:name="_Ref365893783"/>
      <w:r w:rsidR="007F0008" w:rsidRPr="00106D3A">
        <w:rPr>
          <w:rStyle w:val="FootnoteReference"/>
          <w:sz w:val="24"/>
          <w:rtl/>
        </w:rPr>
        <w:footnoteReference w:id="32"/>
      </w:r>
      <w:bookmarkEnd w:id="18"/>
      <w:r w:rsidR="003057A1" w:rsidRPr="00106D3A">
        <w:rPr>
          <w:rFonts w:hint="cs"/>
          <w:sz w:val="24"/>
          <w:rtl/>
        </w:rPr>
        <w:t xml:space="preserve"> </w:t>
      </w:r>
      <w:r w:rsidR="00B07F33" w:rsidRPr="00106D3A">
        <w:rPr>
          <w:rFonts w:hint="cs"/>
          <w:sz w:val="24"/>
          <w:rtl/>
        </w:rPr>
        <w:t xml:space="preserve">מספר זה </w:t>
      </w:r>
      <w:r w:rsidR="001B4D7F" w:rsidRPr="00106D3A">
        <w:rPr>
          <w:rFonts w:hint="cs"/>
          <w:sz w:val="24"/>
          <w:rtl/>
        </w:rPr>
        <w:t xml:space="preserve">כולל החלטות של בתי משפט מחוזיים, </w:t>
      </w:r>
      <w:r w:rsidR="0069352A" w:rsidRPr="00106D3A">
        <w:rPr>
          <w:rFonts w:hint="cs"/>
          <w:sz w:val="24"/>
          <w:rtl/>
        </w:rPr>
        <w:t xml:space="preserve">בתי משפט </w:t>
      </w:r>
      <w:r w:rsidR="001B4D7F" w:rsidRPr="00106D3A">
        <w:rPr>
          <w:rFonts w:hint="cs"/>
          <w:sz w:val="24"/>
          <w:rtl/>
        </w:rPr>
        <w:t xml:space="preserve">שלום, </w:t>
      </w:r>
      <w:r w:rsidR="0069352A" w:rsidRPr="00106D3A">
        <w:rPr>
          <w:rFonts w:hint="cs"/>
          <w:sz w:val="24"/>
          <w:rtl/>
        </w:rPr>
        <w:t>בתי משפט ל</w:t>
      </w:r>
      <w:r w:rsidR="001B4D7F" w:rsidRPr="00106D3A">
        <w:rPr>
          <w:rFonts w:hint="cs"/>
          <w:sz w:val="24"/>
          <w:rtl/>
        </w:rPr>
        <w:t xml:space="preserve">תביעות קטנות, </w:t>
      </w:r>
      <w:r w:rsidR="0069352A" w:rsidRPr="00106D3A">
        <w:rPr>
          <w:rFonts w:hint="cs"/>
          <w:sz w:val="24"/>
          <w:rtl/>
        </w:rPr>
        <w:t>בית דין צבאי ובית דין לעבודה</w:t>
      </w:r>
      <w:r w:rsidR="00B07F33" w:rsidRPr="00106D3A">
        <w:rPr>
          <w:rFonts w:hint="cs"/>
          <w:sz w:val="24"/>
          <w:rtl/>
        </w:rPr>
        <w:t xml:space="preserve">; </w:t>
      </w:r>
      <w:r w:rsidR="00856DCA" w:rsidRPr="00106D3A">
        <w:rPr>
          <w:rFonts w:hint="cs"/>
          <w:sz w:val="24"/>
          <w:rtl/>
        </w:rPr>
        <w:t xml:space="preserve">אף </w:t>
      </w:r>
      <w:r w:rsidR="00B07F33" w:rsidRPr="00106D3A">
        <w:rPr>
          <w:rFonts w:hint="cs"/>
          <w:sz w:val="24"/>
          <w:rtl/>
        </w:rPr>
        <w:t xml:space="preserve">אחת מהן לא </w:t>
      </w:r>
      <w:r w:rsidR="00856DCA" w:rsidRPr="00106D3A">
        <w:rPr>
          <w:rFonts w:hint="cs"/>
          <w:sz w:val="24"/>
          <w:rtl/>
        </w:rPr>
        <w:t>הגיע</w:t>
      </w:r>
      <w:r w:rsidR="00B07F33" w:rsidRPr="00106D3A">
        <w:rPr>
          <w:rFonts w:hint="cs"/>
          <w:sz w:val="24"/>
          <w:rtl/>
        </w:rPr>
        <w:t>ה</w:t>
      </w:r>
      <w:r w:rsidR="00856DCA" w:rsidRPr="00106D3A">
        <w:rPr>
          <w:rFonts w:hint="cs"/>
          <w:sz w:val="24"/>
          <w:rtl/>
        </w:rPr>
        <w:t xml:space="preserve"> </w:t>
      </w:r>
      <w:r w:rsidR="001A3F85" w:rsidRPr="00106D3A">
        <w:rPr>
          <w:rFonts w:hint="cs"/>
          <w:sz w:val="24"/>
          <w:rtl/>
        </w:rPr>
        <w:t xml:space="preserve">בערעור </w:t>
      </w:r>
      <w:r w:rsidR="00F87BD7" w:rsidRPr="00106D3A">
        <w:rPr>
          <w:rFonts w:hint="cs"/>
          <w:sz w:val="24"/>
          <w:rtl/>
        </w:rPr>
        <w:t xml:space="preserve">עד </w:t>
      </w:r>
      <w:r w:rsidR="00856DCA" w:rsidRPr="00106D3A">
        <w:rPr>
          <w:rFonts w:hint="cs"/>
          <w:sz w:val="24"/>
          <w:rtl/>
        </w:rPr>
        <w:t>בית המשפט העליון.</w:t>
      </w:r>
      <w:r w:rsidR="00757B46">
        <w:rPr>
          <w:rStyle w:val="FootnoteReference"/>
          <w:sz w:val="24"/>
          <w:rtl/>
        </w:rPr>
        <w:footnoteReference w:id="33"/>
      </w:r>
      <w:r w:rsidR="00856DCA" w:rsidRPr="00106D3A">
        <w:rPr>
          <w:rFonts w:hint="cs"/>
          <w:sz w:val="24"/>
          <w:rtl/>
        </w:rPr>
        <w:t xml:space="preserve"> </w:t>
      </w:r>
      <w:r w:rsidR="005D21D0">
        <w:rPr>
          <w:rFonts w:hint="cs"/>
          <w:sz w:val="24"/>
          <w:rtl/>
        </w:rPr>
        <w:t xml:space="preserve">השכיחות האפסית של ביקורת שיפוטית בערכאות הדיון </w:t>
      </w:r>
      <w:r w:rsidR="00467F23">
        <w:rPr>
          <w:sz w:val="24"/>
          <w:rtl/>
        </w:rPr>
        <w:t>–</w:t>
      </w:r>
      <w:r w:rsidR="00467F23">
        <w:rPr>
          <w:rFonts w:hint="cs"/>
          <w:sz w:val="24"/>
          <w:rtl/>
        </w:rPr>
        <w:t xml:space="preserve"> מספר כמעט זהה למקרים של ביקורת שיפוטית בבית המשפט העליון מאז 1995 </w:t>
      </w:r>
      <w:r w:rsidR="00467F23">
        <w:rPr>
          <w:sz w:val="24"/>
          <w:rtl/>
        </w:rPr>
        <w:t>–</w:t>
      </w:r>
      <w:r w:rsidR="00467F23">
        <w:rPr>
          <w:rFonts w:hint="cs"/>
          <w:sz w:val="24"/>
          <w:rtl/>
        </w:rPr>
        <w:t xml:space="preserve"> </w:t>
      </w:r>
      <w:r w:rsidR="005D21D0">
        <w:rPr>
          <w:rFonts w:hint="cs"/>
          <w:sz w:val="24"/>
          <w:rtl/>
        </w:rPr>
        <w:t>היא</w:t>
      </w:r>
      <w:r w:rsidR="00F15DB8" w:rsidRPr="00106D3A">
        <w:rPr>
          <w:rFonts w:hint="cs"/>
          <w:sz w:val="24"/>
          <w:rtl/>
        </w:rPr>
        <w:t xml:space="preserve"> ממצא מעניין</w:t>
      </w:r>
      <w:r w:rsidR="00B363C1" w:rsidRPr="00106D3A">
        <w:rPr>
          <w:rFonts w:hint="cs"/>
          <w:sz w:val="24"/>
          <w:rtl/>
        </w:rPr>
        <w:t xml:space="preserve"> מכמה סיבות. ראשית</w:t>
      </w:r>
      <w:r w:rsidR="00F15DB8" w:rsidRPr="00106D3A">
        <w:rPr>
          <w:rFonts w:hint="cs"/>
          <w:sz w:val="24"/>
          <w:rtl/>
        </w:rPr>
        <w:t xml:space="preserve">, כפי </w:t>
      </w:r>
      <w:r w:rsidR="00B363C1" w:rsidRPr="00106D3A">
        <w:rPr>
          <w:rFonts w:hint="cs"/>
          <w:sz w:val="24"/>
          <w:rtl/>
        </w:rPr>
        <w:t xml:space="preserve">שראינו, בית המשפט העליון מניח </w:t>
      </w:r>
      <w:r w:rsidR="008B59F5" w:rsidRPr="00106D3A">
        <w:rPr>
          <w:rFonts w:hint="cs"/>
          <w:sz w:val="24"/>
          <w:rtl/>
        </w:rPr>
        <w:t>שביקורת שיפוטית בערכאות הדיון היא</w:t>
      </w:r>
      <w:r w:rsidR="00B363C1" w:rsidRPr="00106D3A">
        <w:rPr>
          <w:rFonts w:hint="cs"/>
          <w:sz w:val="24"/>
          <w:rtl/>
        </w:rPr>
        <w:t xml:space="preserve"> אפשרות ממשית, ולמעשה נראה </w:t>
      </w:r>
      <w:r w:rsidR="00B363C1" w:rsidRPr="00106D3A">
        <w:rPr>
          <w:rFonts w:hint="cs"/>
          <w:sz w:val="24"/>
          <w:rtl/>
        </w:rPr>
        <w:lastRenderedPageBreak/>
        <w:t xml:space="preserve">שהוא מעדיף אותה על פני ביקורת שיפוטית </w:t>
      </w:r>
      <w:proofErr w:type="spellStart"/>
      <w:r w:rsidR="00B363C1" w:rsidRPr="00106D3A">
        <w:rPr>
          <w:rFonts w:hint="cs"/>
          <w:sz w:val="24"/>
          <w:rtl/>
        </w:rPr>
        <w:t>בג"צית</w:t>
      </w:r>
      <w:proofErr w:type="spellEnd"/>
      <w:r w:rsidR="00997510" w:rsidRPr="00106D3A">
        <w:rPr>
          <w:rFonts w:hint="cs"/>
          <w:sz w:val="24"/>
          <w:rtl/>
        </w:rPr>
        <w:t>, לפחות בהקשרים מסוימים</w:t>
      </w:r>
      <w:r w:rsidR="00B363C1" w:rsidRPr="00106D3A">
        <w:rPr>
          <w:rFonts w:hint="cs"/>
          <w:sz w:val="24"/>
          <w:rtl/>
        </w:rPr>
        <w:t xml:space="preserve">. </w:t>
      </w:r>
      <w:r w:rsidR="00997510" w:rsidRPr="00106D3A">
        <w:rPr>
          <w:rFonts w:hint="cs"/>
          <w:sz w:val="24"/>
          <w:rtl/>
        </w:rPr>
        <w:t>שנית, כפי שצוין לעיל,</w:t>
      </w:r>
      <w:r w:rsidR="006742CF" w:rsidRPr="00106D3A">
        <w:rPr>
          <w:rFonts w:hint="cs"/>
          <w:sz w:val="24"/>
          <w:rtl/>
        </w:rPr>
        <w:t xml:space="preserve"> </w:t>
      </w:r>
      <w:r w:rsidR="00F15DB8" w:rsidRPr="00106D3A">
        <w:rPr>
          <w:rFonts w:hint="cs"/>
          <w:sz w:val="24"/>
          <w:rtl/>
        </w:rPr>
        <w:t>ההשלכה של ביקורת שיפוטית המבוצעת בערכאה ראשונה</w:t>
      </w:r>
      <w:r w:rsidR="00AF2499" w:rsidRPr="00106D3A">
        <w:rPr>
          <w:rFonts w:hint="cs"/>
          <w:sz w:val="24"/>
          <w:rtl/>
        </w:rPr>
        <w:t xml:space="preserve"> במסגרת תקיפה עקיפה</w:t>
      </w:r>
      <w:r w:rsidR="00F15DB8" w:rsidRPr="00106D3A">
        <w:rPr>
          <w:rFonts w:hint="cs"/>
          <w:sz w:val="24"/>
          <w:rtl/>
        </w:rPr>
        <w:t xml:space="preserve"> היא מוגבלת בהיקפה, שכן היא חלה בעקרון רק על הצדדים להליך</w:t>
      </w:r>
      <w:r w:rsidR="00413488" w:rsidRPr="00106D3A">
        <w:rPr>
          <w:rFonts w:hint="cs"/>
          <w:sz w:val="24"/>
          <w:rtl/>
        </w:rPr>
        <w:t>. המשמעות היא</w:t>
      </w:r>
      <w:r w:rsidR="00F15DB8" w:rsidRPr="00106D3A">
        <w:rPr>
          <w:rFonts w:hint="cs"/>
          <w:sz w:val="24"/>
          <w:rtl/>
        </w:rPr>
        <w:t xml:space="preserve"> שעלות הטעות הכרוכה בה </w:t>
      </w:r>
      <w:r w:rsidR="006742CF" w:rsidRPr="00106D3A">
        <w:rPr>
          <w:rFonts w:hint="cs"/>
          <w:sz w:val="24"/>
          <w:rtl/>
        </w:rPr>
        <w:t>(</w:t>
      </w:r>
      <w:r w:rsidR="006742CF" w:rsidRPr="00106D3A">
        <w:rPr>
          <w:sz w:val="24"/>
        </w:rPr>
        <w:t>error cost</w:t>
      </w:r>
      <w:r w:rsidR="006742CF" w:rsidRPr="00106D3A">
        <w:rPr>
          <w:rFonts w:hint="cs"/>
          <w:sz w:val="24"/>
          <w:rtl/>
        </w:rPr>
        <w:t xml:space="preserve">) </w:t>
      </w:r>
      <w:r w:rsidR="00F15DB8" w:rsidRPr="00106D3A">
        <w:rPr>
          <w:rFonts w:hint="cs"/>
          <w:sz w:val="24"/>
          <w:rtl/>
        </w:rPr>
        <w:t xml:space="preserve">בדרך כלל מוגבלת גם כן. </w:t>
      </w:r>
      <w:r w:rsidR="00467F23">
        <w:rPr>
          <w:rFonts w:hint="cs"/>
          <w:sz w:val="24"/>
          <w:rtl/>
        </w:rPr>
        <w:t xml:space="preserve">שלישית, מספר ההליכים </w:t>
      </w:r>
      <w:r w:rsidR="00A02D1D">
        <w:rPr>
          <w:rFonts w:hint="cs"/>
          <w:sz w:val="24"/>
          <w:rtl/>
        </w:rPr>
        <w:t xml:space="preserve">המתנהלים בערכאות הדין גדול לאין מונים מזה המתנהל בבית המשפט העליון, ובהתחשב בעלות הנמוכה הכרוכה בהעלאת טענה חוקתית, ניתן לשער </w:t>
      </w:r>
      <w:r w:rsidR="00134E4E">
        <w:rPr>
          <w:rFonts w:hint="cs"/>
          <w:sz w:val="24"/>
          <w:rtl/>
        </w:rPr>
        <w:t xml:space="preserve">(ויש ראיות ראשוניות לכך) </w:t>
      </w:r>
      <w:r w:rsidR="00A02D1D">
        <w:rPr>
          <w:rFonts w:hint="cs"/>
          <w:sz w:val="24"/>
          <w:rtl/>
        </w:rPr>
        <w:t xml:space="preserve">שהדבר נעשה באופן תדיר. </w:t>
      </w:r>
      <w:r w:rsidR="00CD6432" w:rsidRPr="00106D3A">
        <w:rPr>
          <w:rFonts w:hint="cs"/>
          <w:sz w:val="24"/>
          <w:rtl/>
        </w:rPr>
        <w:t>למרות זאת ניכר שבתי המשפט הנמוכים נרתעים משימו</w:t>
      </w:r>
      <w:r w:rsidR="00E85ABB" w:rsidRPr="00106D3A">
        <w:rPr>
          <w:rFonts w:hint="cs"/>
          <w:sz w:val="24"/>
          <w:rtl/>
        </w:rPr>
        <w:t>ש בסמכות, אף ש</w:t>
      </w:r>
      <w:r w:rsidR="00CD6432" w:rsidRPr="00106D3A">
        <w:rPr>
          <w:rFonts w:hint="cs"/>
          <w:sz w:val="24"/>
          <w:rtl/>
        </w:rPr>
        <w:t>רבים מהם סבורים (בצדק) ש</w:t>
      </w:r>
      <w:r w:rsidR="00E85ABB" w:rsidRPr="00106D3A">
        <w:rPr>
          <w:rFonts w:hint="cs"/>
          <w:sz w:val="24"/>
          <w:rtl/>
        </w:rPr>
        <w:t xml:space="preserve">היא </w:t>
      </w:r>
      <w:r w:rsidR="00CD6432" w:rsidRPr="00106D3A">
        <w:rPr>
          <w:rFonts w:hint="cs"/>
          <w:sz w:val="24"/>
          <w:rtl/>
        </w:rPr>
        <w:t xml:space="preserve">נתונה להם. </w:t>
      </w:r>
    </w:p>
    <w:p w:rsidR="009403B5" w:rsidRPr="00106D3A" w:rsidRDefault="00D52F19" w:rsidP="009403B5">
      <w:pPr>
        <w:ind w:firstLine="720"/>
        <w:jc w:val="both"/>
        <w:rPr>
          <w:sz w:val="24"/>
          <w:rtl/>
        </w:rPr>
      </w:pPr>
      <w:r w:rsidRPr="00106D3A">
        <w:rPr>
          <w:rFonts w:hint="cs"/>
          <w:sz w:val="24"/>
          <w:rtl/>
        </w:rPr>
        <w:t>אטען בהמשך שיש להצ</w:t>
      </w:r>
      <w:r w:rsidR="001C6410" w:rsidRPr="00106D3A">
        <w:rPr>
          <w:rFonts w:hint="cs"/>
          <w:sz w:val="24"/>
          <w:rtl/>
        </w:rPr>
        <w:t>טע</w:t>
      </w:r>
      <w:r w:rsidRPr="00106D3A">
        <w:rPr>
          <w:rFonts w:hint="cs"/>
          <w:sz w:val="24"/>
          <w:rtl/>
        </w:rPr>
        <w:t xml:space="preserve">ר על המתינות החוקתית הזו של ערכאות הדיון. </w:t>
      </w:r>
      <w:r w:rsidR="002F5AE6" w:rsidRPr="00106D3A">
        <w:rPr>
          <w:rFonts w:hint="cs"/>
          <w:sz w:val="24"/>
          <w:rtl/>
        </w:rPr>
        <w:t xml:space="preserve">בשלב זה אני מבקש </w:t>
      </w:r>
      <w:r w:rsidR="004701BB" w:rsidRPr="00106D3A">
        <w:rPr>
          <w:rFonts w:hint="cs"/>
          <w:sz w:val="24"/>
          <w:rtl/>
        </w:rPr>
        <w:t xml:space="preserve">רק </w:t>
      </w:r>
      <w:r w:rsidR="002F5AE6" w:rsidRPr="00106D3A">
        <w:rPr>
          <w:rFonts w:hint="cs"/>
          <w:sz w:val="24"/>
          <w:rtl/>
        </w:rPr>
        <w:t xml:space="preserve">לשאול </w:t>
      </w:r>
      <w:r w:rsidRPr="00106D3A">
        <w:rPr>
          <w:rFonts w:hint="cs"/>
          <w:sz w:val="24"/>
          <w:rtl/>
        </w:rPr>
        <w:t>כיצד ניתן להסביר אותה</w:t>
      </w:r>
      <w:r w:rsidR="002F5AE6" w:rsidRPr="00106D3A">
        <w:rPr>
          <w:rFonts w:hint="cs"/>
          <w:sz w:val="24"/>
          <w:rtl/>
        </w:rPr>
        <w:t>.</w:t>
      </w:r>
      <w:r w:rsidRPr="00106D3A">
        <w:rPr>
          <w:rFonts w:hint="cs"/>
          <w:sz w:val="24"/>
          <w:rtl/>
        </w:rPr>
        <w:t xml:space="preserve"> מדוע ערכאות הדיון נמנעות ככלל מביטול חוקי הכנסת?</w:t>
      </w:r>
      <w:r w:rsidR="00841AE0" w:rsidRPr="00106D3A">
        <w:rPr>
          <w:rFonts w:hint="cs"/>
          <w:sz w:val="24"/>
          <w:rtl/>
        </w:rPr>
        <w:t xml:space="preserve"> כמובן, ברקע עומדת גישתו העקרונית של בית המשפט העליון בעניין כיבוד הרשות המחוקקת והזהירות הנדרשת מבית משפט הבא לבטל חקיקה של הכנסת.</w:t>
      </w:r>
      <w:r w:rsidR="00D0504B" w:rsidRPr="00106D3A">
        <w:rPr>
          <w:rStyle w:val="FootnoteReference"/>
          <w:sz w:val="24"/>
          <w:rtl/>
        </w:rPr>
        <w:footnoteReference w:id="34"/>
      </w:r>
      <w:r w:rsidR="00841AE0" w:rsidRPr="00106D3A">
        <w:rPr>
          <w:rFonts w:hint="cs"/>
          <w:sz w:val="24"/>
          <w:rtl/>
        </w:rPr>
        <w:t xml:space="preserve"> </w:t>
      </w:r>
      <w:r w:rsidR="009B54D6" w:rsidRPr="00106D3A">
        <w:rPr>
          <w:rFonts w:hint="cs"/>
          <w:sz w:val="24"/>
          <w:rtl/>
        </w:rPr>
        <w:t xml:space="preserve">אין ספק שערכאות הדיון הפנימו גישה זו, ולעתים נראה ששופטיהן סבורים שאם כך הכלל בבית המשפט העליון, </w:t>
      </w:r>
      <w:r w:rsidR="00FC7F70" w:rsidRPr="00106D3A">
        <w:rPr>
          <w:rFonts w:hint="cs"/>
          <w:sz w:val="24"/>
          <w:rtl/>
        </w:rPr>
        <w:t>ה</w:t>
      </w:r>
      <w:r w:rsidR="009B54D6" w:rsidRPr="00106D3A">
        <w:rPr>
          <w:rFonts w:hint="cs"/>
          <w:sz w:val="24"/>
          <w:rtl/>
        </w:rPr>
        <w:t xml:space="preserve">רי מקל וחומר שעל ערכאה נמוכה יותר להיזהר </w:t>
      </w:r>
      <w:r w:rsidR="00FC7F70" w:rsidRPr="00106D3A">
        <w:rPr>
          <w:rFonts w:hint="cs"/>
          <w:sz w:val="24"/>
          <w:rtl/>
        </w:rPr>
        <w:t xml:space="preserve">במיוחד </w:t>
      </w:r>
      <w:r w:rsidR="009B54D6" w:rsidRPr="00106D3A">
        <w:rPr>
          <w:rFonts w:hint="cs"/>
          <w:sz w:val="24"/>
          <w:rtl/>
        </w:rPr>
        <w:t>בכבודה של הכנסת.</w:t>
      </w:r>
      <w:bookmarkStart w:id="19" w:name="_Ref373312122"/>
      <w:r w:rsidR="00186FA2" w:rsidRPr="00106D3A">
        <w:rPr>
          <w:rStyle w:val="FootnoteReference"/>
          <w:sz w:val="24"/>
          <w:rtl/>
        </w:rPr>
        <w:footnoteReference w:id="35"/>
      </w:r>
      <w:bookmarkEnd w:id="19"/>
      <w:r w:rsidR="009B54D6" w:rsidRPr="00106D3A">
        <w:rPr>
          <w:rFonts w:hint="cs"/>
          <w:sz w:val="24"/>
          <w:rtl/>
        </w:rPr>
        <w:t xml:space="preserve"> </w:t>
      </w:r>
      <w:r w:rsidR="00D1361E" w:rsidRPr="00106D3A">
        <w:rPr>
          <w:rFonts w:hint="cs"/>
          <w:sz w:val="24"/>
          <w:rtl/>
        </w:rPr>
        <w:t xml:space="preserve">אך </w:t>
      </w:r>
      <w:r w:rsidR="004E6583" w:rsidRPr="00106D3A">
        <w:rPr>
          <w:rFonts w:hint="cs"/>
          <w:sz w:val="24"/>
          <w:rtl/>
        </w:rPr>
        <w:t xml:space="preserve">דומה </w:t>
      </w:r>
      <w:r w:rsidR="00A31679" w:rsidRPr="00106D3A">
        <w:rPr>
          <w:rFonts w:hint="cs"/>
          <w:sz w:val="24"/>
          <w:rtl/>
        </w:rPr>
        <w:t xml:space="preserve">שאין מדובר רק במתינות יזומה </w:t>
      </w:r>
      <w:r w:rsidR="002559A7" w:rsidRPr="00106D3A">
        <w:rPr>
          <w:rFonts w:hint="cs"/>
          <w:sz w:val="24"/>
          <w:rtl/>
        </w:rPr>
        <w:t>ש</w:t>
      </w:r>
      <w:r w:rsidR="00A31679" w:rsidRPr="00106D3A">
        <w:rPr>
          <w:rFonts w:hint="cs"/>
          <w:sz w:val="24"/>
          <w:rtl/>
        </w:rPr>
        <w:t>שופטי ערכאות הדיון</w:t>
      </w:r>
      <w:r w:rsidR="002559A7" w:rsidRPr="00106D3A">
        <w:rPr>
          <w:rFonts w:hint="cs"/>
          <w:sz w:val="24"/>
          <w:rtl/>
        </w:rPr>
        <w:t xml:space="preserve"> </w:t>
      </w:r>
      <w:r w:rsidR="006A58EA" w:rsidRPr="00106D3A">
        <w:rPr>
          <w:rFonts w:hint="cs"/>
          <w:sz w:val="24"/>
          <w:rtl/>
        </w:rPr>
        <w:t xml:space="preserve">פיתחו </w:t>
      </w:r>
      <w:r w:rsidR="002559A7" w:rsidRPr="00106D3A">
        <w:rPr>
          <w:rFonts w:hint="cs"/>
          <w:sz w:val="24"/>
          <w:rtl/>
        </w:rPr>
        <w:t xml:space="preserve">בעצמם עבור עצמם, אלא גם בהפנמה של </w:t>
      </w:r>
      <w:r w:rsidR="009403B5" w:rsidRPr="00106D3A">
        <w:rPr>
          <w:rFonts w:hint="cs"/>
          <w:sz w:val="24"/>
          <w:rtl/>
        </w:rPr>
        <w:t xml:space="preserve">נורמה נגד ביקורת שיפוטית אשר מונחלת אליהם מגורמים חיצוניים. </w:t>
      </w:r>
      <w:r w:rsidR="008443AC" w:rsidRPr="00106D3A">
        <w:rPr>
          <w:rFonts w:hint="cs"/>
          <w:sz w:val="24"/>
          <w:rtl/>
        </w:rPr>
        <w:t xml:space="preserve">הדינמיקה שסבבה את אחד מאותם אירועים של ביקורת שיפוטית ביזורית יכולה ללמד על הכוחות הללו. </w:t>
      </w:r>
    </w:p>
    <w:p w:rsidR="009403B5" w:rsidRPr="00106D3A" w:rsidRDefault="009403B5" w:rsidP="009403B5">
      <w:pPr>
        <w:ind w:firstLine="720"/>
        <w:jc w:val="both"/>
        <w:rPr>
          <w:sz w:val="24"/>
          <w:rtl/>
        </w:rPr>
      </w:pPr>
    </w:p>
    <w:p w:rsidR="00066AEC" w:rsidRPr="00106D3A" w:rsidRDefault="00066AEC" w:rsidP="00D374A3">
      <w:pPr>
        <w:pStyle w:val="Heading2"/>
        <w:rPr>
          <w:rtl/>
        </w:rPr>
      </w:pPr>
      <w:bookmarkStart w:id="20" w:name="_Toc372223054"/>
      <w:r w:rsidRPr="00106D3A">
        <w:rPr>
          <w:rFonts w:hint="cs"/>
          <w:rtl/>
        </w:rPr>
        <w:t xml:space="preserve">פרשת </w:t>
      </w:r>
      <w:proofErr w:type="spellStart"/>
      <w:r w:rsidRPr="00106D3A">
        <w:rPr>
          <w:rFonts w:hint="cs"/>
          <w:rtl/>
        </w:rPr>
        <w:t>הנדלמן</w:t>
      </w:r>
      <w:proofErr w:type="spellEnd"/>
      <w:r w:rsidRPr="00106D3A">
        <w:rPr>
          <w:rFonts w:hint="cs"/>
          <w:rtl/>
        </w:rPr>
        <w:t xml:space="preserve"> וגורלה של הביקורת השיפוטית הביזורית</w:t>
      </w:r>
      <w:bookmarkEnd w:id="20"/>
    </w:p>
    <w:p w:rsidR="008C2467" w:rsidRPr="00106D3A" w:rsidRDefault="005D4F3F" w:rsidP="009F665C">
      <w:pPr>
        <w:ind w:firstLine="720"/>
        <w:jc w:val="both"/>
        <w:rPr>
          <w:sz w:val="24"/>
          <w:rtl/>
        </w:rPr>
      </w:pPr>
      <w:r w:rsidRPr="00106D3A">
        <w:rPr>
          <w:rFonts w:hint="cs"/>
          <w:sz w:val="24"/>
          <w:rtl/>
        </w:rPr>
        <w:t xml:space="preserve">להבהרת הנקודה ראוי להתעכב על </w:t>
      </w:r>
      <w:r w:rsidR="002559A7" w:rsidRPr="00106D3A">
        <w:rPr>
          <w:rFonts w:hint="cs"/>
          <w:sz w:val="24"/>
          <w:rtl/>
        </w:rPr>
        <w:t xml:space="preserve">אחד המקרים </w:t>
      </w:r>
      <w:r w:rsidRPr="00106D3A">
        <w:rPr>
          <w:rFonts w:hint="cs"/>
          <w:sz w:val="24"/>
          <w:rtl/>
        </w:rPr>
        <w:t xml:space="preserve">הבודדים בהם ביצע בית משפט שלום ביקורת שיפוטית חוקתית. </w:t>
      </w:r>
      <w:r w:rsidR="00365D9A" w:rsidRPr="00106D3A">
        <w:rPr>
          <w:rFonts w:hint="cs"/>
          <w:sz w:val="24"/>
          <w:rtl/>
        </w:rPr>
        <w:t>התגובות לאותה החלטה שיפוטית יכולות ללמדנו על מערכת התמריצים המופעלת על ערכאות הדיון בנושא זה. כוונתי להל</w:t>
      </w:r>
      <w:r w:rsidR="002253A9" w:rsidRPr="00106D3A">
        <w:rPr>
          <w:rFonts w:hint="cs"/>
          <w:sz w:val="24"/>
          <w:rtl/>
        </w:rPr>
        <w:t xml:space="preserve">יך הפלילי בעניינו של משה </w:t>
      </w:r>
      <w:proofErr w:type="spellStart"/>
      <w:r w:rsidR="002253A9" w:rsidRPr="00106D3A">
        <w:rPr>
          <w:rFonts w:hint="cs"/>
          <w:sz w:val="24"/>
          <w:rtl/>
        </w:rPr>
        <w:t>הנדלמן</w:t>
      </w:r>
      <w:proofErr w:type="spellEnd"/>
      <w:r w:rsidR="002253A9" w:rsidRPr="00106D3A">
        <w:rPr>
          <w:rFonts w:hint="cs"/>
          <w:sz w:val="24"/>
          <w:rtl/>
        </w:rPr>
        <w:t xml:space="preserve">, </w:t>
      </w:r>
      <w:r w:rsidR="00715049" w:rsidRPr="00106D3A">
        <w:rPr>
          <w:rFonts w:hint="cs"/>
          <w:sz w:val="24"/>
          <w:rtl/>
        </w:rPr>
        <w:t xml:space="preserve">שהועמד לדין </w:t>
      </w:r>
      <w:r w:rsidR="00713237" w:rsidRPr="00106D3A">
        <w:rPr>
          <w:rFonts w:hint="cs"/>
          <w:sz w:val="24"/>
          <w:rtl/>
        </w:rPr>
        <w:t xml:space="preserve">בשנת 2001 </w:t>
      </w:r>
      <w:r w:rsidR="00715049" w:rsidRPr="00106D3A">
        <w:rPr>
          <w:rFonts w:hint="cs"/>
          <w:sz w:val="24"/>
          <w:rtl/>
        </w:rPr>
        <w:t xml:space="preserve">בבית </w:t>
      </w:r>
      <w:r w:rsidR="00CB231A" w:rsidRPr="00106D3A">
        <w:rPr>
          <w:rFonts w:hint="cs"/>
          <w:sz w:val="24"/>
          <w:rtl/>
        </w:rPr>
        <w:t>משפט השלום בתל אביב בגין עבירה לפי סעיף 236ב1</w:t>
      </w:r>
      <w:r w:rsidR="00B053CE" w:rsidRPr="00106D3A">
        <w:rPr>
          <w:rFonts w:hint="cs"/>
          <w:sz w:val="24"/>
          <w:rtl/>
        </w:rPr>
        <w:t>(ב)</w:t>
      </w:r>
      <w:r w:rsidR="00CB231A" w:rsidRPr="00106D3A">
        <w:rPr>
          <w:rFonts w:hint="cs"/>
          <w:sz w:val="24"/>
          <w:rtl/>
        </w:rPr>
        <w:t xml:space="preserve"> לפקודת מס הכנסה</w:t>
      </w:r>
      <w:r w:rsidR="000A6793" w:rsidRPr="00106D3A">
        <w:rPr>
          <w:rFonts w:hint="cs"/>
          <w:sz w:val="24"/>
          <w:rtl/>
        </w:rPr>
        <w:t xml:space="preserve"> (כנוסחו אז)</w:t>
      </w:r>
      <w:r w:rsidR="00713237" w:rsidRPr="00106D3A">
        <w:rPr>
          <w:rFonts w:hint="cs"/>
          <w:sz w:val="24"/>
          <w:rtl/>
        </w:rPr>
        <w:t xml:space="preserve">, </w:t>
      </w:r>
      <w:r w:rsidR="00560345" w:rsidRPr="00106D3A">
        <w:rPr>
          <w:rFonts w:hint="cs"/>
          <w:sz w:val="24"/>
          <w:rtl/>
        </w:rPr>
        <w:t xml:space="preserve">אשר </w:t>
      </w:r>
      <w:r w:rsidR="006C52D3" w:rsidRPr="00106D3A">
        <w:rPr>
          <w:rFonts w:hint="cs"/>
          <w:sz w:val="24"/>
          <w:rtl/>
        </w:rPr>
        <w:t xml:space="preserve">אסר </w:t>
      </w:r>
      <w:r w:rsidR="00CB231A" w:rsidRPr="00106D3A">
        <w:rPr>
          <w:rFonts w:hint="cs"/>
          <w:sz w:val="24"/>
          <w:rtl/>
        </w:rPr>
        <w:t xml:space="preserve">על מי שאינו רשום בפנקס יועצי המס </w:t>
      </w:r>
      <w:r w:rsidR="00204140" w:rsidRPr="00106D3A">
        <w:rPr>
          <w:rFonts w:hint="cs"/>
          <w:sz w:val="24"/>
          <w:rtl/>
        </w:rPr>
        <w:t>להציג עצמו כיועץ מס</w:t>
      </w:r>
      <w:r w:rsidR="002253A9" w:rsidRPr="00106D3A">
        <w:rPr>
          <w:rFonts w:hint="cs"/>
          <w:sz w:val="24"/>
          <w:rtl/>
        </w:rPr>
        <w:t>.</w:t>
      </w:r>
      <w:r w:rsidR="00910D73" w:rsidRPr="00106D3A">
        <w:rPr>
          <w:rStyle w:val="FootnoteReference"/>
          <w:sz w:val="24"/>
          <w:rtl/>
        </w:rPr>
        <w:footnoteReference w:id="36"/>
      </w:r>
      <w:r w:rsidR="002253A9" w:rsidRPr="00106D3A">
        <w:rPr>
          <w:rFonts w:hint="cs"/>
          <w:sz w:val="24"/>
          <w:rtl/>
        </w:rPr>
        <w:t xml:space="preserve"> </w:t>
      </w:r>
      <w:r w:rsidR="00700C39" w:rsidRPr="00106D3A">
        <w:rPr>
          <w:rFonts w:hint="cs"/>
          <w:sz w:val="24"/>
          <w:rtl/>
        </w:rPr>
        <w:t xml:space="preserve">משהואשם בעבירה כאמור, </w:t>
      </w:r>
      <w:proofErr w:type="spellStart"/>
      <w:r w:rsidR="00611AF2" w:rsidRPr="00106D3A">
        <w:rPr>
          <w:rFonts w:hint="cs"/>
          <w:sz w:val="24"/>
          <w:rtl/>
        </w:rPr>
        <w:t>הנדלמן</w:t>
      </w:r>
      <w:proofErr w:type="spellEnd"/>
      <w:r w:rsidR="00611AF2" w:rsidRPr="00106D3A">
        <w:rPr>
          <w:rFonts w:hint="cs"/>
          <w:sz w:val="24"/>
          <w:rtl/>
        </w:rPr>
        <w:t xml:space="preserve"> עתר לבג"ץ נגד חוקתיות הסעיף</w:t>
      </w:r>
      <w:r w:rsidR="00BE3EA6" w:rsidRPr="00106D3A">
        <w:rPr>
          <w:rFonts w:hint="cs"/>
          <w:sz w:val="24"/>
          <w:rtl/>
        </w:rPr>
        <w:t xml:space="preserve"> (במסגרת </w:t>
      </w:r>
      <w:r w:rsidR="003A24F3" w:rsidRPr="00106D3A">
        <w:rPr>
          <w:rFonts w:hint="cs"/>
          <w:sz w:val="24"/>
          <w:rtl/>
        </w:rPr>
        <w:t xml:space="preserve">מסלול הביקורת השיפוטית </w:t>
      </w:r>
      <w:r w:rsidR="00BE3EA6" w:rsidRPr="00106D3A">
        <w:rPr>
          <w:rFonts w:hint="cs"/>
          <w:sz w:val="24"/>
          <w:rtl/>
        </w:rPr>
        <w:t>הריכוזי</w:t>
      </w:r>
      <w:r w:rsidR="003A24F3" w:rsidRPr="00106D3A">
        <w:rPr>
          <w:rFonts w:hint="cs"/>
          <w:sz w:val="24"/>
          <w:rtl/>
        </w:rPr>
        <w:t>ת</w:t>
      </w:r>
      <w:r w:rsidR="00BE3EA6" w:rsidRPr="00106D3A">
        <w:rPr>
          <w:rFonts w:hint="cs"/>
          <w:sz w:val="24"/>
          <w:rtl/>
        </w:rPr>
        <w:t>)</w:t>
      </w:r>
      <w:r w:rsidR="00013514" w:rsidRPr="00106D3A">
        <w:rPr>
          <w:rFonts w:hint="cs"/>
          <w:sz w:val="24"/>
          <w:rtl/>
        </w:rPr>
        <w:t xml:space="preserve">. בעתירה טען שההוראה פוגעת שלא כדין בזכות לחופש העיסוק. </w:t>
      </w:r>
      <w:r w:rsidR="00EC4C56" w:rsidRPr="00106D3A">
        <w:rPr>
          <w:rFonts w:hint="cs"/>
          <w:sz w:val="24"/>
          <w:rtl/>
        </w:rPr>
        <w:t>ההליך הסתיים ב</w:t>
      </w:r>
      <w:r w:rsidR="00013514" w:rsidRPr="00106D3A">
        <w:rPr>
          <w:rFonts w:hint="cs"/>
          <w:sz w:val="24"/>
          <w:rtl/>
        </w:rPr>
        <w:t>פסק דין קצרצר</w:t>
      </w:r>
      <w:r w:rsidR="002C255C" w:rsidRPr="00106D3A">
        <w:rPr>
          <w:rFonts w:hint="cs"/>
          <w:sz w:val="24"/>
          <w:rtl/>
        </w:rPr>
        <w:t xml:space="preserve">, בו </w:t>
      </w:r>
      <w:r w:rsidR="008C2467" w:rsidRPr="00106D3A">
        <w:rPr>
          <w:rFonts w:hint="cs"/>
          <w:sz w:val="24"/>
          <w:rtl/>
        </w:rPr>
        <w:t xml:space="preserve">ציין בית המשפט העליון שבהמלצת ההרכב </w:t>
      </w:r>
      <w:r w:rsidR="00EC4C56" w:rsidRPr="00106D3A">
        <w:rPr>
          <w:rFonts w:hint="cs"/>
          <w:sz w:val="24"/>
          <w:rtl/>
        </w:rPr>
        <w:t xml:space="preserve">העותר ביקש </w:t>
      </w:r>
      <w:r w:rsidR="00322031" w:rsidRPr="00106D3A">
        <w:rPr>
          <w:rFonts w:hint="cs"/>
          <w:sz w:val="24"/>
          <w:rtl/>
        </w:rPr>
        <w:t xml:space="preserve">למחוק את העתירה כדי </w:t>
      </w:r>
      <w:r w:rsidR="002C255C" w:rsidRPr="00106D3A">
        <w:rPr>
          <w:rFonts w:hint="cs"/>
          <w:sz w:val="24"/>
          <w:rtl/>
        </w:rPr>
        <w:t xml:space="preserve">להעלות </w:t>
      </w:r>
      <w:r w:rsidR="00322031" w:rsidRPr="00106D3A">
        <w:rPr>
          <w:rFonts w:hint="cs"/>
          <w:sz w:val="24"/>
          <w:rtl/>
        </w:rPr>
        <w:t>את הטענה החוקתית במסגרת ההליך הפלילי בו הוא נאשם.</w:t>
      </w:r>
      <w:r w:rsidR="00D610C5" w:rsidRPr="00106D3A">
        <w:rPr>
          <w:rStyle w:val="FootnoteReference"/>
          <w:sz w:val="24"/>
          <w:rtl/>
        </w:rPr>
        <w:footnoteReference w:id="37"/>
      </w:r>
      <w:r w:rsidR="00322031" w:rsidRPr="00106D3A">
        <w:rPr>
          <w:rFonts w:hint="cs"/>
          <w:sz w:val="24"/>
          <w:rtl/>
        </w:rPr>
        <w:t xml:space="preserve"> </w:t>
      </w:r>
      <w:r w:rsidR="004B4550" w:rsidRPr="00106D3A">
        <w:rPr>
          <w:rFonts w:hint="cs"/>
          <w:sz w:val="24"/>
          <w:rtl/>
        </w:rPr>
        <w:t xml:space="preserve">ואמנם </w:t>
      </w:r>
      <w:proofErr w:type="spellStart"/>
      <w:r w:rsidR="004B4550" w:rsidRPr="00106D3A">
        <w:rPr>
          <w:rFonts w:hint="cs"/>
          <w:sz w:val="24"/>
          <w:rtl/>
        </w:rPr>
        <w:t>הנדלמן</w:t>
      </w:r>
      <w:proofErr w:type="spellEnd"/>
      <w:r w:rsidR="004B4550" w:rsidRPr="00106D3A">
        <w:rPr>
          <w:rFonts w:hint="cs"/>
          <w:sz w:val="24"/>
          <w:rtl/>
        </w:rPr>
        <w:t xml:space="preserve"> הציג את הטענה החוקתית בפני בית משפט השלום כטענת הגנה מקדמית. </w:t>
      </w:r>
    </w:p>
    <w:p w:rsidR="00C561AD" w:rsidRPr="00106D3A" w:rsidRDefault="00C561AD" w:rsidP="00580721">
      <w:pPr>
        <w:ind w:firstLine="720"/>
        <w:jc w:val="both"/>
        <w:rPr>
          <w:sz w:val="24"/>
          <w:rtl/>
        </w:rPr>
      </w:pPr>
      <w:r w:rsidRPr="00106D3A">
        <w:rPr>
          <w:rFonts w:hint="cs"/>
          <w:sz w:val="24"/>
          <w:rtl/>
        </w:rPr>
        <w:t>בית משפט השלום (השופט רוזן) ערך דיון מפורט בחוקתיות הסעיף ובעמידתו בתנאי פסקת ההגבלה, וקבע שהסעיף אינו חוקתי ובטל.</w:t>
      </w:r>
      <w:r w:rsidR="00477741" w:rsidRPr="00106D3A">
        <w:rPr>
          <w:rStyle w:val="FootnoteReference"/>
          <w:sz w:val="24"/>
          <w:rtl/>
        </w:rPr>
        <w:footnoteReference w:id="38"/>
      </w:r>
      <w:r w:rsidRPr="00106D3A">
        <w:rPr>
          <w:rFonts w:hint="cs"/>
          <w:sz w:val="24"/>
          <w:rtl/>
        </w:rPr>
        <w:t xml:space="preserve"> </w:t>
      </w:r>
      <w:proofErr w:type="spellStart"/>
      <w:r w:rsidR="007F000A" w:rsidRPr="00106D3A">
        <w:rPr>
          <w:rFonts w:hint="cs"/>
          <w:sz w:val="24"/>
          <w:rtl/>
        </w:rPr>
        <w:t>הנדלמן</w:t>
      </w:r>
      <w:proofErr w:type="spellEnd"/>
      <w:r w:rsidR="007F000A" w:rsidRPr="00106D3A">
        <w:rPr>
          <w:rFonts w:hint="cs"/>
          <w:sz w:val="24"/>
          <w:rtl/>
        </w:rPr>
        <w:t xml:space="preserve"> זוכה אפוא מעבירה זו, אך הורשע בשתי עבירות אחרות </w:t>
      </w:r>
      <w:r w:rsidR="001A6DA5" w:rsidRPr="00106D3A">
        <w:rPr>
          <w:rFonts w:hint="cs"/>
          <w:sz w:val="24"/>
          <w:rtl/>
        </w:rPr>
        <w:t>שנכללו בכתב האישום</w:t>
      </w:r>
      <w:r w:rsidR="007F000A" w:rsidRPr="00106D3A">
        <w:rPr>
          <w:rFonts w:hint="cs"/>
          <w:sz w:val="24"/>
          <w:rtl/>
        </w:rPr>
        <w:t>.</w:t>
      </w:r>
      <w:r w:rsidR="00C578AB" w:rsidRPr="00106D3A">
        <w:rPr>
          <w:rStyle w:val="FootnoteReference"/>
          <w:sz w:val="24"/>
          <w:rtl/>
        </w:rPr>
        <w:footnoteReference w:id="39"/>
      </w:r>
      <w:r w:rsidR="007F000A" w:rsidRPr="00106D3A">
        <w:rPr>
          <w:rFonts w:hint="cs"/>
          <w:sz w:val="24"/>
          <w:rtl/>
        </w:rPr>
        <w:t xml:space="preserve"> </w:t>
      </w:r>
      <w:r w:rsidR="00423D5D" w:rsidRPr="00106D3A">
        <w:rPr>
          <w:rFonts w:hint="cs"/>
          <w:sz w:val="24"/>
          <w:rtl/>
        </w:rPr>
        <w:t>המדינה בחרה שלא לערער על ההחלטה החוקתית של בית משפט השלום</w:t>
      </w:r>
      <w:r w:rsidR="002940BA" w:rsidRPr="00106D3A">
        <w:rPr>
          <w:rFonts w:hint="cs"/>
          <w:sz w:val="24"/>
          <w:rtl/>
        </w:rPr>
        <w:t>, ובכך מנעה למעשה את אפשרות ההגעה של השאלה החוקתית להכרעה תקדימית בבית המשפט העליון</w:t>
      </w:r>
      <w:r w:rsidR="00423D5D" w:rsidRPr="00106D3A">
        <w:rPr>
          <w:rFonts w:hint="cs"/>
          <w:sz w:val="24"/>
          <w:rtl/>
        </w:rPr>
        <w:t xml:space="preserve">. </w:t>
      </w:r>
      <w:proofErr w:type="spellStart"/>
      <w:r w:rsidR="008654A0" w:rsidRPr="00106D3A">
        <w:rPr>
          <w:rFonts w:hint="cs"/>
          <w:sz w:val="24"/>
          <w:rtl/>
        </w:rPr>
        <w:t>הנדלמן</w:t>
      </w:r>
      <w:proofErr w:type="spellEnd"/>
      <w:r w:rsidR="008654A0" w:rsidRPr="00106D3A">
        <w:rPr>
          <w:rFonts w:hint="cs"/>
          <w:sz w:val="24"/>
          <w:rtl/>
        </w:rPr>
        <w:t xml:space="preserve"> מצדו ערער על ההרשעה בסעיפים האחרים של כתב האישום. </w:t>
      </w:r>
      <w:r w:rsidR="00DD7DC9" w:rsidRPr="00106D3A">
        <w:rPr>
          <w:rFonts w:hint="cs"/>
          <w:sz w:val="24"/>
          <w:rtl/>
        </w:rPr>
        <w:t xml:space="preserve">הערעור נדחה, אך בית המשפט המחוזי מצא להוסיף </w:t>
      </w:r>
      <w:r w:rsidR="00B053CE" w:rsidRPr="00106D3A">
        <w:rPr>
          <w:rFonts w:hint="cs"/>
          <w:sz w:val="24"/>
          <w:rtl/>
        </w:rPr>
        <w:t xml:space="preserve">בפסק הדין </w:t>
      </w:r>
      <w:r w:rsidR="00DD7DC9" w:rsidRPr="00106D3A">
        <w:rPr>
          <w:rFonts w:hint="cs"/>
          <w:sz w:val="24"/>
          <w:rtl/>
        </w:rPr>
        <w:t xml:space="preserve">גם הערה לעניין </w:t>
      </w:r>
      <w:r w:rsidR="00B053CE" w:rsidRPr="00106D3A">
        <w:rPr>
          <w:rFonts w:hint="cs"/>
          <w:sz w:val="24"/>
          <w:rtl/>
        </w:rPr>
        <w:lastRenderedPageBreak/>
        <w:t>הביקורת השיפוטית</w:t>
      </w:r>
      <w:r w:rsidR="000E6EC1" w:rsidRPr="00106D3A">
        <w:rPr>
          <w:rFonts w:hint="cs"/>
          <w:sz w:val="24"/>
          <w:rtl/>
        </w:rPr>
        <w:t xml:space="preserve">, ולפיה </w:t>
      </w:r>
      <w:r w:rsidR="00B053CE" w:rsidRPr="00106D3A">
        <w:rPr>
          <w:rFonts w:hint="cs"/>
          <w:sz w:val="24"/>
          <w:rtl/>
        </w:rPr>
        <w:t>"</w:t>
      </w:r>
      <w:r w:rsidR="000E6EC1" w:rsidRPr="00106D3A">
        <w:rPr>
          <w:sz w:val="24"/>
          <w:rtl/>
        </w:rPr>
        <w:t>טוב היה עושה בית משפט קמא אילו נקט במידה רבה יותר של איפוק שיפוטי</w:t>
      </w:r>
      <w:r w:rsidR="000E6EC1" w:rsidRPr="00106D3A">
        <w:rPr>
          <w:rFonts w:hint="cs"/>
          <w:sz w:val="24"/>
          <w:rtl/>
        </w:rPr>
        <w:t>"</w:t>
      </w:r>
      <w:r w:rsidR="00471E50" w:rsidRPr="00106D3A">
        <w:rPr>
          <w:rFonts w:hint="cs"/>
          <w:sz w:val="24"/>
          <w:rtl/>
        </w:rPr>
        <w:t xml:space="preserve"> </w:t>
      </w:r>
      <w:r w:rsidR="009F665C" w:rsidRPr="00106D3A">
        <w:rPr>
          <w:rFonts w:hint="cs"/>
          <w:sz w:val="24"/>
          <w:rtl/>
        </w:rPr>
        <w:t>בתחום החוקתי</w:t>
      </w:r>
      <w:r w:rsidR="000E6EC1" w:rsidRPr="00106D3A">
        <w:rPr>
          <w:rFonts w:hint="cs"/>
          <w:sz w:val="24"/>
          <w:rtl/>
        </w:rPr>
        <w:t xml:space="preserve">. בית המשפט המחוזי סבר </w:t>
      </w:r>
      <w:r w:rsidR="002F7AF1" w:rsidRPr="00106D3A">
        <w:rPr>
          <w:rFonts w:hint="cs"/>
          <w:sz w:val="24"/>
          <w:rtl/>
        </w:rPr>
        <w:t>ש</w:t>
      </w:r>
      <w:r w:rsidR="000E6EC1" w:rsidRPr="00106D3A">
        <w:rPr>
          <w:rFonts w:hint="cs"/>
          <w:sz w:val="24"/>
          <w:rtl/>
        </w:rPr>
        <w:t xml:space="preserve">"במקום להזדרז ולבטל" את הוראת החוק, </w:t>
      </w:r>
      <w:r w:rsidR="002F7AF1" w:rsidRPr="00106D3A">
        <w:rPr>
          <w:rFonts w:hint="cs"/>
          <w:sz w:val="24"/>
          <w:rtl/>
        </w:rPr>
        <w:t xml:space="preserve">היה על בית </w:t>
      </w:r>
      <w:r w:rsidR="000E6EC1" w:rsidRPr="00106D3A">
        <w:rPr>
          <w:rFonts w:hint="cs"/>
          <w:sz w:val="24"/>
          <w:rtl/>
        </w:rPr>
        <w:t xml:space="preserve">משפט השלום </w:t>
      </w:r>
      <w:r w:rsidR="002F7AF1" w:rsidRPr="00106D3A">
        <w:rPr>
          <w:rFonts w:hint="cs"/>
          <w:sz w:val="24"/>
          <w:rtl/>
        </w:rPr>
        <w:t>להתאמץ ו</w:t>
      </w:r>
      <w:r w:rsidR="000E6EC1" w:rsidRPr="00106D3A">
        <w:rPr>
          <w:rFonts w:hint="cs"/>
          <w:sz w:val="24"/>
          <w:rtl/>
        </w:rPr>
        <w:t>למצוא פתרון פרשני לבעיה החוקתית.</w:t>
      </w:r>
      <w:bookmarkStart w:id="21" w:name="_Ref365894166"/>
      <w:r w:rsidR="00054EFB" w:rsidRPr="00106D3A">
        <w:rPr>
          <w:rStyle w:val="FootnoteReference"/>
          <w:sz w:val="24"/>
          <w:rtl/>
        </w:rPr>
        <w:footnoteReference w:id="40"/>
      </w:r>
      <w:bookmarkEnd w:id="21"/>
      <w:r w:rsidR="000E6EC1" w:rsidRPr="00106D3A">
        <w:rPr>
          <w:rFonts w:hint="cs"/>
          <w:sz w:val="24"/>
          <w:rtl/>
        </w:rPr>
        <w:t xml:space="preserve"> </w:t>
      </w:r>
    </w:p>
    <w:p w:rsidR="008F049F" w:rsidRPr="00106D3A" w:rsidRDefault="00ED07F6" w:rsidP="001C0BAF">
      <w:pPr>
        <w:ind w:firstLine="720"/>
        <w:jc w:val="both"/>
        <w:rPr>
          <w:sz w:val="24"/>
          <w:rtl/>
        </w:rPr>
      </w:pPr>
      <w:r w:rsidRPr="00106D3A">
        <w:rPr>
          <w:rFonts w:hint="cs"/>
          <w:sz w:val="24"/>
          <w:rtl/>
        </w:rPr>
        <w:t xml:space="preserve">התייחסותו הביקורתית של בית המשפט המחוזי לביקורת השיפוטית בעניין </w:t>
      </w:r>
      <w:proofErr w:type="spellStart"/>
      <w:r w:rsidRPr="00106D3A">
        <w:rPr>
          <w:rFonts w:hint="cs"/>
          <w:sz w:val="24"/>
          <w:rtl/>
        </w:rPr>
        <w:t>הנדלמן</w:t>
      </w:r>
      <w:proofErr w:type="spellEnd"/>
      <w:r w:rsidRPr="00106D3A">
        <w:rPr>
          <w:rFonts w:hint="cs"/>
          <w:sz w:val="24"/>
          <w:rtl/>
        </w:rPr>
        <w:t xml:space="preserve"> לא </w:t>
      </w:r>
      <w:proofErr w:type="spellStart"/>
      <w:r w:rsidRPr="00106D3A">
        <w:rPr>
          <w:rFonts w:hint="cs"/>
          <w:sz w:val="24"/>
          <w:rtl/>
        </w:rPr>
        <w:t>היתה</w:t>
      </w:r>
      <w:proofErr w:type="spellEnd"/>
      <w:r w:rsidRPr="00106D3A">
        <w:rPr>
          <w:rFonts w:hint="cs"/>
          <w:sz w:val="24"/>
          <w:rtl/>
        </w:rPr>
        <w:t xml:space="preserve"> היחידה, אף לא החריפה ביותר. </w:t>
      </w:r>
      <w:r w:rsidR="00167272" w:rsidRPr="00106D3A">
        <w:rPr>
          <w:rFonts w:hint="cs"/>
          <w:sz w:val="24"/>
          <w:rtl/>
        </w:rPr>
        <w:t>ש</w:t>
      </w:r>
      <w:r w:rsidR="00906474" w:rsidRPr="00106D3A">
        <w:rPr>
          <w:rFonts w:hint="cs"/>
          <w:sz w:val="24"/>
          <w:rtl/>
        </w:rPr>
        <w:t>ִ</w:t>
      </w:r>
      <w:r w:rsidR="00167272" w:rsidRPr="00106D3A">
        <w:rPr>
          <w:rFonts w:hint="cs"/>
          <w:sz w:val="24"/>
          <w:rtl/>
        </w:rPr>
        <w:t>מעה של החלטת</w:t>
      </w:r>
      <w:r w:rsidR="007037DF" w:rsidRPr="00106D3A">
        <w:rPr>
          <w:rFonts w:hint="cs"/>
          <w:sz w:val="24"/>
          <w:rtl/>
        </w:rPr>
        <w:t>ו של</w:t>
      </w:r>
      <w:r w:rsidR="00167272" w:rsidRPr="00106D3A">
        <w:rPr>
          <w:rFonts w:hint="cs"/>
          <w:sz w:val="24"/>
          <w:rtl/>
        </w:rPr>
        <w:t xml:space="preserve"> בית משפט השלום הגיע גם למערכת הפוליטית, </w:t>
      </w:r>
      <w:r w:rsidR="00906474" w:rsidRPr="00106D3A">
        <w:rPr>
          <w:rFonts w:hint="cs"/>
          <w:sz w:val="24"/>
          <w:rtl/>
        </w:rPr>
        <w:t>והמקרה</w:t>
      </w:r>
      <w:r w:rsidR="004F150E" w:rsidRPr="00106D3A">
        <w:rPr>
          <w:rFonts w:hint="cs"/>
          <w:sz w:val="24"/>
          <w:rtl/>
        </w:rPr>
        <w:t xml:space="preserve"> </w:t>
      </w:r>
      <w:r w:rsidR="00906474" w:rsidRPr="00106D3A">
        <w:rPr>
          <w:rFonts w:hint="cs"/>
          <w:sz w:val="24"/>
          <w:rtl/>
        </w:rPr>
        <w:t>שימש</w:t>
      </w:r>
      <w:r w:rsidR="00167272" w:rsidRPr="00106D3A">
        <w:rPr>
          <w:rFonts w:hint="cs"/>
          <w:sz w:val="24"/>
          <w:rtl/>
        </w:rPr>
        <w:t xml:space="preserve"> </w:t>
      </w:r>
      <w:r w:rsidR="008F049F" w:rsidRPr="00106D3A">
        <w:rPr>
          <w:rFonts w:hint="cs"/>
          <w:sz w:val="24"/>
          <w:rtl/>
        </w:rPr>
        <w:t>את כמה ממבקריה של "המהפכה החוקתית" כראיה לסמכויות הבלתי-מבוקרות</w:t>
      </w:r>
      <w:r w:rsidR="002D372A" w:rsidRPr="00106D3A">
        <w:rPr>
          <w:rFonts w:hint="cs"/>
          <w:sz w:val="24"/>
          <w:rtl/>
        </w:rPr>
        <w:t xml:space="preserve"> הנתונות כעת גם ל"שופט שלום, מכובד ככל שיהיה", כדבריו של יושב-ראש הכנסת באותה עת, ח"כ ראובן ריבלין.</w:t>
      </w:r>
      <w:r w:rsidR="008B4825" w:rsidRPr="00106D3A">
        <w:rPr>
          <w:rFonts w:hint="cs"/>
          <w:sz w:val="24"/>
          <w:rtl/>
        </w:rPr>
        <w:t xml:space="preserve"> בדברים במכון הישראלי לדמוקרטיה במאי 2003 הביע ריבלין את תדהמתו מכך ש"</w:t>
      </w:r>
      <w:r w:rsidR="008B4825" w:rsidRPr="00106D3A">
        <w:rPr>
          <w:sz w:val="24"/>
          <w:rtl/>
        </w:rPr>
        <w:t xml:space="preserve">בית משפט שלום יעז פניו בפני החוק, בפני המחוקק הריבוני, </w:t>
      </w:r>
      <w:r w:rsidR="008B4825" w:rsidRPr="00106D3A">
        <w:rPr>
          <w:rFonts w:hint="cs"/>
          <w:sz w:val="24"/>
          <w:rtl/>
        </w:rPr>
        <w:t>ב</w:t>
      </w:r>
      <w:r w:rsidR="008B4825" w:rsidRPr="00106D3A">
        <w:rPr>
          <w:sz w:val="24"/>
          <w:rtl/>
        </w:rPr>
        <w:t>פני קודשיה של הדמוקרטיה, ופשוט 'יכריז' על 'בטלותו' כביכול של חוק מדינה. שהרי מצב בו שופט שלום הופך בעצם למחוקק, מחזיר אותנו באחת לימי 'שפוט השופטים', לימים בהם 'איש הישר בעיניו יעשה'</w:t>
      </w:r>
      <w:r w:rsidR="008B4825" w:rsidRPr="00106D3A">
        <w:rPr>
          <w:rFonts w:hint="cs"/>
          <w:sz w:val="24"/>
          <w:rtl/>
        </w:rPr>
        <w:t>."</w:t>
      </w:r>
      <w:r w:rsidR="00FA3FFF" w:rsidRPr="00106D3A">
        <w:rPr>
          <w:rStyle w:val="FootnoteReference"/>
          <w:sz w:val="24"/>
          <w:rtl/>
        </w:rPr>
        <w:footnoteReference w:id="41"/>
      </w:r>
      <w:r w:rsidR="00CD5DC5" w:rsidRPr="00106D3A">
        <w:rPr>
          <w:rFonts w:hint="cs"/>
          <w:sz w:val="24"/>
          <w:rtl/>
        </w:rPr>
        <w:t xml:space="preserve"> אחרים </w:t>
      </w:r>
      <w:r w:rsidR="001C0BAF">
        <w:rPr>
          <w:rFonts w:hint="cs"/>
          <w:sz w:val="24"/>
          <w:rtl/>
        </w:rPr>
        <w:t xml:space="preserve">במערכת הפוליטית </w:t>
      </w:r>
      <w:r w:rsidR="00CD5DC5" w:rsidRPr="00106D3A">
        <w:rPr>
          <w:rFonts w:hint="cs"/>
          <w:sz w:val="24"/>
          <w:rtl/>
        </w:rPr>
        <w:t>ביטאו רגש דומה.</w:t>
      </w:r>
      <w:r w:rsidR="007C343D" w:rsidRPr="00106D3A">
        <w:rPr>
          <w:rStyle w:val="FootnoteReference"/>
          <w:sz w:val="24"/>
          <w:rtl/>
        </w:rPr>
        <w:footnoteReference w:id="42"/>
      </w:r>
      <w:r w:rsidR="00CD5DC5" w:rsidRPr="00106D3A">
        <w:rPr>
          <w:rFonts w:hint="cs"/>
          <w:sz w:val="24"/>
          <w:rtl/>
        </w:rPr>
        <w:t xml:space="preserve"> </w:t>
      </w:r>
    </w:p>
    <w:p w:rsidR="00665548" w:rsidRPr="00106D3A" w:rsidRDefault="00665548" w:rsidP="00FD1037">
      <w:pPr>
        <w:ind w:firstLine="720"/>
        <w:jc w:val="both"/>
        <w:rPr>
          <w:sz w:val="24"/>
          <w:rtl/>
        </w:rPr>
      </w:pPr>
      <w:r w:rsidRPr="00106D3A">
        <w:rPr>
          <w:rFonts w:hint="cs"/>
          <w:sz w:val="24"/>
          <w:rtl/>
        </w:rPr>
        <w:t xml:space="preserve">פרשת </w:t>
      </w:r>
      <w:proofErr w:type="spellStart"/>
      <w:r w:rsidRPr="00106D3A">
        <w:rPr>
          <w:rFonts w:hint="cs"/>
          <w:sz w:val="24"/>
          <w:rtl/>
        </w:rPr>
        <w:t>הנדלמן</w:t>
      </w:r>
      <w:proofErr w:type="spellEnd"/>
      <w:r w:rsidRPr="00106D3A">
        <w:rPr>
          <w:rFonts w:hint="cs"/>
          <w:sz w:val="24"/>
          <w:rtl/>
        </w:rPr>
        <w:t xml:space="preserve"> כשלעצמה </w:t>
      </w:r>
      <w:proofErr w:type="spellStart"/>
      <w:r w:rsidRPr="00106D3A">
        <w:rPr>
          <w:rFonts w:hint="cs"/>
          <w:sz w:val="24"/>
          <w:rtl/>
        </w:rPr>
        <w:t>היתה</w:t>
      </w:r>
      <w:proofErr w:type="spellEnd"/>
      <w:r w:rsidRPr="00106D3A">
        <w:rPr>
          <w:rFonts w:hint="cs"/>
          <w:sz w:val="24"/>
          <w:rtl/>
        </w:rPr>
        <w:t xml:space="preserve"> </w:t>
      </w:r>
      <w:proofErr w:type="spellStart"/>
      <w:r w:rsidRPr="00106D3A">
        <w:rPr>
          <w:rFonts w:hint="cs"/>
          <w:sz w:val="24"/>
          <w:rtl/>
        </w:rPr>
        <w:t>אר</w:t>
      </w:r>
      <w:r w:rsidR="005E2D3E" w:rsidRPr="00106D3A">
        <w:rPr>
          <w:rFonts w:hint="cs"/>
          <w:sz w:val="24"/>
          <w:rtl/>
        </w:rPr>
        <w:t>וע</w:t>
      </w:r>
      <w:proofErr w:type="spellEnd"/>
      <w:r w:rsidR="005E2D3E" w:rsidRPr="00106D3A">
        <w:rPr>
          <w:rFonts w:hint="cs"/>
          <w:sz w:val="24"/>
          <w:rtl/>
        </w:rPr>
        <w:t xml:space="preserve"> זניח בהיסטוריה של דיני המס</w:t>
      </w:r>
      <w:r w:rsidRPr="00106D3A">
        <w:rPr>
          <w:rFonts w:hint="cs"/>
          <w:sz w:val="24"/>
          <w:rtl/>
        </w:rPr>
        <w:t xml:space="preserve"> או </w:t>
      </w:r>
      <w:r w:rsidR="005E2D3E" w:rsidRPr="00106D3A">
        <w:rPr>
          <w:rFonts w:hint="cs"/>
          <w:sz w:val="24"/>
          <w:rtl/>
        </w:rPr>
        <w:t xml:space="preserve">של דיני </w:t>
      </w:r>
      <w:r w:rsidRPr="00106D3A">
        <w:rPr>
          <w:rFonts w:hint="cs"/>
          <w:sz w:val="24"/>
          <w:rtl/>
        </w:rPr>
        <w:t xml:space="preserve">העונשין של מדינת ישראל, וגם בדיני זכויות האדם היא לא נחרתה כרגע משמעותי. </w:t>
      </w:r>
      <w:r w:rsidR="00265E9E" w:rsidRPr="00106D3A">
        <w:rPr>
          <w:rFonts w:hint="cs"/>
          <w:sz w:val="24"/>
          <w:rtl/>
        </w:rPr>
        <w:t>אך</w:t>
      </w:r>
      <w:r w:rsidR="005E2D3E" w:rsidRPr="00106D3A">
        <w:rPr>
          <w:rFonts w:hint="cs"/>
          <w:sz w:val="24"/>
          <w:rtl/>
        </w:rPr>
        <w:t xml:space="preserve"> </w:t>
      </w:r>
      <w:r w:rsidR="00265E9E" w:rsidRPr="00106D3A">
        <w:rPr>
          <w:rFonts w:hint="cs"/>
          <w:sz w:val="24"/>
          <w:rtl/>
        </w:rPr>
        <w:t xml:space="preserve">מדובר </w:t>
      </w:r>
      <w:r w:rsidR="00B16F45" w:rsidRPr="00106D3A">
        <w:rPr>
          <w:rFonts w:hint="cs"/>
          <w:sz w:val="24"/>
          <w:rtl/>
        </w:rPr>
        <w:t xml:space="preserve">ברגע </w:t>
      </w:r>
      <w:r w:rsidR="0080431D" w:rsidRPr="00106D3A">
        <w:rPr>
          <w:rFonts w:hint="cs"/>
          <w:sz w:val="24"/>
          <w:rtl/>
        </w:rPr>
        <w:t xml:space="preserve">חשוב </w:t>
      </w:r>
      <w:r w:rsidR="00B16F45" w:rsidRPr="00106D3A">
        <w:rPr>
          <w:rFonts w:hint="cs"/>
          <w:sz w:val="24"/>
          <w:rtl/>
        </w:rPr>
        <w:t xml:space="preserve">מבחינת סוג המסרים שהוא גרר מצד גורמים שונים </w:t>
      </w:r>
      <w:r w:rsidR="00B16F45" w:rsidRPr="00106D3A">
        <w:rPr>
          <w:sz w:val="24"/>
          <w:rtl/>
        </w:rPr>
        <w:t>–</w:t>
      </w:r>
      <w:r w:rsidR="00B16F45" w:rsidRPr="00106D3A">
        <w:rPr>
          <w:rFonts w:hint="cs"/>
          <w:sz w:val="24"/>
          <w:rtl/>
        </w:rPr>
        <w:t xml:space="preserve"> במערכת המשפט ו</w:t>
      </w:r>
      <w:r w:rsidR="00DF59DD" w:rsidRPr="00106D3A">
        <w:rPr>
          <w:rFonts w:hint="cs"/>
          <w:sz w:val="24"/>
          <w:rtl/>
        </w:rPr>
        <w:t>בעיקר במערכת הפוליטית</w:t>
      </w:r>
      <w:r w:rsidR="00B16F45" w:rsidRPr="00106D3A">
        <w:rPr>
          <w:rFonts w:hint="cs"/>
          <w:sz w:val="24"/>
          <w:rtl/>
        </w:rPr>
        <w:t xml:space="preserve"> </w:t>
      </w:r>
      <w:r w:rsidR="00B16F45" w:rsidRPr="00106D3A">
        <w:rPr>
          <w:sz w:val="24"/>
          <w:rtl/>
        </w:rPr>
        <w:t>–</w:t>
      </w:r>
      <w:r w:rsidR="00B16F45" w:rsidRPr="00106D3A">
        <w:rPr>
          <w:rFonts w:hint="cs"/>
          <w:sz w:val="24"/>
          <w:rtl/>
        </w:rPr>
        <w:t xml:space="preserve"> בדבר הלגיטימיות של מעשה הביקורת השיפוטית בידי </w:t>
      </w:r>
      <w:r w:rsidR="00564BBA" w:rsidRPr="00106D3A">
        <w:rPr>
          <w:rFonts w:hint="cs"/>
          <w:sz w:val="24"/>
          <w:rtl/>
        </w:rPr>
        <w:t xml:space="preserve">ערכאות הדיון. </w:t>
      </w:r>
      <w:r w:rsidR="0067267C" w:rsidRPr="00106D3A">
        <w:rPr>
          <w:rFonts w:hint="cs"/>
          <w:sz w:val="24"/>
          <w:rtl/>
        </w:rPr>
        <w:t xml:space="preserve">אף </w:t>
      </w:r>
      <w:r w:rsidR="009532F1" w:rsidRPr="00106D3A">
        <w:rPr>
          <w:rFonts w:hint="cs"/>
          <w:sz w:val="24"/>
          <w:rtl/>
        </w:rPr>
        <w:t xml:space="preserve">שאיננו יכולים לדעת מה השפעתם האישית של מסרים אלה על כל שופט ושופטת בערכאות הדיון, </w:t>
      </w:r>
      <w:r w:rsidR="00603236" w:rsidRPr="00106D3A">
        <w:rPr>
          <w:rFonts w:hint="cs"/>
          <w:sz w:val="24"/>
          <w:rtl/>
        </w:rPr>
        <w:t xml:space="preserve">הרתיעה הניכרת של אותם שופטים </w:t>
      </w:r>
      <w:r w:rsidR="00247497" w:rsidRPr="00106D3A">
        <w:rPr>
          <w:rFonts w:hint="cs"/>
          <w:sz w:val="24"/>
          <w:rtl/>
        </w:rPr>
        <w:t>מהפעלתה של סמכות הביקורת ה</w:t>
      </w:r>
      <w:r w:rsidR="00E4610B" w:rsidRPr="00106D3A">
        <w:rPr>
          <w:rFonts w:hint="cs"/>
          <w:sz w:val="24"/>
          <w:rtl/>
        </w:rPr>
        <w:t>שיפוטית יכולה לרמוז שהמסרים</w:t>
      </w:r>
      <w:r w:rsidR="00247497" w:rsidRPr="00106D3A">
        <w:rPr>
          <w:rFonts w:hint="cs"/>
          <w:sz w:val="24"/>
          <w:rtl/>
        </w:rPr>
        <w:t xml:space="preserve"> "עובדים"</w:t>
      </w:r>
      <w:r w:rsidR="00E4610B" w:rsidRPr="00106D3A">
        <w:rPr>
          <w:rFonts w:hint="cs"/>
          <w:sz w:val="24"/>
          <w:rtl/>
        </w:rPr>
        <w:t>:</w:t>
      </w:r>
      <w:r w:rsidR="00247497" w:rsidRPr="00106D3A">
        <w:rPr>
          <w:rFonts w:hint="cs"/>
          <w:sz w:val="24"/>
          <w:rtl/>
        </w:rPr>
        <w:t xml:space="preserve"> </w:t>
      </w:r>
      <w:r w:rsidR="00E4610B" w:rsidRPr="00106D3A">
        <w:rPr>
          <w:rFonts w:hint="cs"/>
          <w:sz w:val="24"/>
          <w:rtl/>
        </w:rPr>
        <w:t xml:space="preserve">למרות </w:t>
      </w:r>
      <w:r w:rsidR="0067267C" w:rsidRPr="00106D3A">
        <w:rPr>
          <w:rFonts w:hint="cs"/>
          <w:sz w:val="24"/>
          <w:rtl/>
        </w:rPr>
        <w:t>שהביקורת השיפוטית הביזורית מוכרת באופן פורמאלי בשיטה החוקתית הישראלית, בפועל היא ממעטת מאוד "לנשוך".</w:t>
      </w:r>
      <w:r w:rsidR="00FF17BC">
        <w:rPr>
          <w:rFonts w:hint="cs"/>
          <w:sz w:val="24"/>
          <w:rtl/>
        </w:rPr>
        <w:t xml:space="preserve"> יחסית לכמות התיקים הנדונים בערכאות הדיון בישראל, ולכמות הטענות החוקתיות שנטענות בהם (כפי שניתן לשער), </w:t>
      </w:r>
      <w:r w:rsidR="005E1DBD">
        <w:rPr>
          <w:rFonts w:hint="cs"/>
          <w:sz w:val="24"/>
          <w:rtl/>
        </w:rPr>
        <w:t xml:space="preserve">הביקורת השיפוטית </w:t>
      </w:r>
      <w:proofErr w:type="spellStart"/>
      <w:r w:rsidR="005E1DBD">
        <w:rPr>
          <w:rFonts w:hint="cs"/>
          <w:sz w:val="24"/>
          <w:rtl/>
        </w:rPr>
        <w:t>הביזורית</w:t>
      </w:r>
      <w:proofErr w:type="spellEnd"/>
      <w:r w:rsidR="005E1DBD">
        <w:rPr>
          <w:rFonts w:hint="cs"/>
          <w:sz w:val="24"/>
          <w:rtl/>
        </w:rPr>
        <w:t xml:space="preserve"> היא תופעה </w:t>
      </w:r>
      <w:proofErr w:type="spellStart"/>
      <w:r w:rsidR="005E1DBD">
        <w:rPr>
          <w:rFonts w:hint="cs"/>
          <w:sz w:val="24"/>
          <w:rtl/>
        </w:rPr>
        <w:t>אנקדוטלית</w:t>
      </w:r>
      <w:proofErr w:type="spellEnd"/>
      <w:r w:rsidR="005E1DBD">
        <w:rPr>
          <w:rFonts w:hint="cs"/>
          <w:sz w:val="24"/>
          <w:rtl/>
        </w:rPr>
        <w:t xml:space="preserve"> במשפט החוקתי הישראלי. </w:t>
      </w:r>
    </w:p>
    <w:p w:rsidR="002F33F9" w:rsidRPr="00106D3A" w:rsidRDefault="002F33F9" w:rsidP="002F33F9">
      <w:pPr>
        <w:jc w:val="both"/>
        <w:rPr>
          <w:sz w:val="24"/>
          <w:rtl/>
        </w:rPr>
      </w:pPr>
    </w:p>
    <w:p w:rsidR="002F33F9" w:rsidRPr="00106D3A" w:rsidRDefault="002F33F9" w:rsidP="00D374A3">
      <w:pPr>
        <w:pStyle w:val="Heading2"/>
        <w:rPr>
          <w:rtl/>
        </w:rPr>
      </w:pPr>
      <w:bookmarkStart w:id="22" w:name="_Toc372223055"/>
      <w:r w:rsidRPr="00106D3A">
        <w:rPr>
          <w:rFonts w:hint="cs"/>
          <w:rtl/>
        </w:rPr>
        <w:t>ישראל כשיטה ריכוזית</w:t>
      </w:r>
      <w:bookmarkEnd w:id="22"/>
    </w:p>
    <w:p w:rsidR="001238AA" w:rsidRPr="00106D3A" w:rsidRDefault="00E016AC" w:rsidP="00001CD8">
      <w:pPr>
        <w:ind w:firstLine="720"/>
        <w:jc w:val="both"/>
        <w:rPr>
          <w:sz w:val="24"/>
          <w:rtl/>
        </w:rPr>
      </w:pPr>
      <w:r w:rsidRPr="00106D3A">
        <w:rPr>
          <w:rFonts w:hint="cs"/>
          <w:sz w:val="24"/>
          <w:rtl/>
        </w:rPr>
        <w:t>אף שההיגיון המוסדי של המערכת החוקתית הישראלי</w:t>
      </w:r>
      <w:r w:rsidR="000F610D" w:rsidRPr="00106D3A">
        <w:rPr>
          <w:rFonts w:hint="cs"/>
          <w:sz w:val="24"/>
          <w:rtl/>
        </w:rPr>
        <w:t>ת</w:t>
      </w:r>
      <w:r w:rsidRPr="00106D3A">
        <w:rPr>
          <w:rFonts w:hint="cs"/>
          <w:sz w:val="24"/>
          <w:rtl/>
        </w:rPr>
        <w:t xml:space="preserve"> מורה להלכה לשיטה הביזורית, ההסדר הייחודי של סמכות השיפוט הכפולה של בית המשפט העליון</w:t>
      </w:r>
      <w:r w:rsidR="004D611D" w:rsidRPr="00106D3A">
        <w:rPr>
          <w:rFonts w:hint="cs"/>
          <w:sz w:val="24"/>
          <w:rtl/>
        </w:rPr>
        <w:t xml:space="preserve"> </w:t>
      </w:r>
      <w:r w:rsidR="004D611D" w:rsidRPr="00106D3A">
        <w:rPr>
          <w:sz w:val="24"/>
          <w:rtl/>
        </w:rPr>
        <w:t>–</w:t>
      </w:r>
      <w:r w:rsidR="004D611D" w:rsidRPr="00106D3A">
        <w:rPr>
          <w:rFonts w:hint="cs"/>
          <w:sz w:val="24"/>
          <w:rtl/>
        </w:rPr>
        <w:t xml:space="preserve"> כבית משפט לערעורים וכבית משפט גבוה לצדק </w:t>
      </w:r>
      <w:r w:rsidR="004D611D" w:rsidRPr="00106D3A">
        <w:rPr>
          <w:sz w:val="24"/>
          <w:rtl/>
        </w:rPr>
        <w:t>–</w:t>
      </w:r>
      <w:r w:rsidRPr="00106D3A">
        <w:rPr>
          <w:rFonts w:hint="cs"/>
          <w:sz w:val="24"/>
          <w:rtl/>
        </w:rPr>
        <w:t xml:space="preserve"> הוביל למעשה </w:t>
      </w:r>
      <w:r w:rsidR="00001CD8" w:rsidRPr="00106D3A">
        <w:rPr>
          <w:rFonts w:hint="cs"/>
          <w:sz w:val="24"/>
          <w:rtl/>
        </w:rPr>
        <w:t xml:space="preserve">להתפתחותה של ביקורת שיפוטית </w:t>
      </w:r>
      <w:r w:rsidR="000F610D" w:rsidRPr="00106D3A">
        <w:rPr>
          <w:rFonts w:hint="cs"/>
          <w:sz w:val="24"/>
          <w:rtl/>
        </w:rPr>
        <w:t xml:space="preserve">ריכוזית </w:t>
      </w:r>
      <w:r w:rsidR="004D611D" w:rsidRPr="00106D3A">
        <w:rPr>
          <w:rFonts w:hint="cs"/>
          <w:sz w:val="24"/>
          <w:rtl/>
        </w:rPr>
        <w:t>בישראל</w:t>
      </w:r>
      <w:r w:rsidR="00001CD8" w:rsidRPr="00106D3A">
        <w:rPr>
          <w:rFonts w:hint="cs"/>
          <w:sz w:val="24"/>
          <w:rtl/>
        </w:rPr>
        <w:t>, במקביל למסלול הביזורי</w:t>
      </w:r>
      <w:r w:rsidR="004D611D" w:rsidRPr="00106D3A">
        <w:rPr>
          <w:rFonts w:hint="cs"/>
          <w:sz w:val="24"/>
          <w:rtl/>
        </w:rPr>
        <w:t>.</w:t>
      </w:r>
      <w:r w:rsidR="000F610D" w:rsidRPr="00106D3A">
        <w:rPr>
          <w:rFonts w:hint="cs"/>
          <w:sz w:val="24"/>
          <w:rtl/>
        </w:rPr>
        <w:t xml:space="preserve"> </w:t>
      </w:r>
      <w:r w:rsidR="004D611D" w:rsidRPr="00106D3A">
        <w:rPr>
          <w:rFonts w:hint="cs"/>
          <w:sz w:val="24"/>
          <w:rtl/>
        </w:rPr>
        <w:t xml:space="preserve">היות שסמכותו של בג"ץ מוגדרת באופן רחב ביותר </w:t>
      </w:r>
      <w:r w:rsidR="0073752B" w:rsidRPr="00106D3A">
        <w:rPr>
          <w:rFonts w:hint="cs"/>
          <w:sz w:val="24"/>
          <w:rtl/>
        </w:rPr>
        <w:t>בחוק-יסו</w:t>
      </w:r>
      <w:r w:rsidR="00A07F67" w:rsidRPr="00106D3A">
        <w:rPr>
          <w:rFonts w:hint="cs"/>
          <w:sz w:val="24"/>
          <w:rtl/>
        </w:rPr>
        <w:t>ד: השפיטה,</w:t>
      </w:r>
      <w:r w:rsidR="008E12B7" w:rsidRPr="00106D3A">
        <w:rPr>
          <w:rStyle w:val="FootnoteReference"/>
          <w:sz w:val="24"/>
          <w:rtl/>
        </w:rPr>
        <w:footnoteReference w:id="43"/>
      </w:r>
      <w:r w:rsidR="00A07F67" w:rsidRPr="00106D3A">
        <w:rPr>
          <w:rFonts w:hint="cs"/>
          <w:sz w:val="24"/>
          <w:rtl/>
        </w:rPr>
        <w:t xml:space="preserve"> והיות שהיסטורית הוא כבר מצא עצמו מבקר את מגוון הפעולות השל</w:t>
      </w:r>
      <w:r w:rsidR="00155E54" w:rsidRPr="00106D3A">
        <w:rPr>
          <w:rFonts w:hint="cs"/>
          <w:sz w:val="24"/>
          <w:rtl/>
        </w:rPr>
        <w:t>טוניות, ובכלל זה את חקיקת</w:t>
      </w:r>
      <w:r w:rsidR="005C1F93" w:rsidRPr="00106D3A">
        <w:rPr>
          <w:rFonts w:hint="cs"/>
          <w:sz w:val="24"/>
          <w:rtl/>
        </w:rPr>
        <w:t xml:space="preserve"> הכנסת,</w:t>
      </w:r>
      <w:r w:rsidR="00E13AFD" w:rsidRPr="00106D3A">
        <w:rPr>
          <w:rStyle w:val="FootnoteReference"/>
          <w:sz w:val="24"/>
          <w:rtl/>
        </w:rPr>
        <w:footnoteReference w:id="44"/>
      </w:r>
      <w:r w:rsidR="005C1F93" w:rsidRPr="00106D3A">
        <w:rPr>
          <w:rFonts w:hint="cs"/>
          <w:sz w:val="24"/>
          <w:rtl/>
        </w:rPr>
        <w:t xml:space="preserve"> </w:t>
      </w:r>
      <w:r w:rsidR="00BC5D01" w:rsidRPr="00106D3A">
        <w:rPr>
          <w:rFonts w:hint="cs"/>
          <w:sz w:val="24"/>
          <w:rtl/>
        </w:rPr>
        <w:t>נראה ש</w:t>
      </w:r>
      <w:r w:rsidR="00155E54" w:rsidRPr="00106D3A">
        <w:rPr>
          <w:rFonts w:hint="cs"/>
          <w:sz w:val="24"/>
          <w:rtl/>
        </w:rPr>
        <w:t xml:space="preserve">בשום שלב לא </w:t>
      </w:r>
      <w:r w:rsidR="00BC5D01" w:rsidRPr="00106D3A">
        <w:rPr>
          <w:rFonts w:hint="cs"/>
          <w:sz w:val="24"/>
          <w:rtl/>
        </w:rPr>
        <w:t xml:space="preserve">היה ספק בידי </w:t>
      </w:r>
      <w:r w:rsidR="006F3DA3" w:rsidRPr="00106D3A">
        <w:rPr>
          <w:rFonts w:hint="cs"/>
          <w:sz w:val="24"/>
          <w:rtl/>
        </w:rPr>
        <w:t xml:space="preserve">איש </w:t>
      </w:r>
      <w:r w:rsidR="00BC5D01" w:rsidRPr="00106D3A">
        <w:rPr>
          <w:rFonts w:hint="cs"/>
          <w:sz w:val="24"/>
          <w:rtl/>
        </w:rPr>
        <w:t>בד</w:t>
      </w:r>
      <w:r w:rsidR="006F3DA3" w:rsidRPr="00106D3A">
        <w:rPr>
          <w:rFonts w:hint="cs"/>
          <w:sz w:val="24"/>
          <w:rtl/>
        </w:rPr>
        <w:t>ְ</w:t>
      </w:r>
      <w:r w:rsidR="00BC5D01" w:rsidRPr="00106D3A">
        <w:rPr>
          <w:rFonts w:hint="cs"/>
          <w:sz w:val="24"/>
          <w:rtl/>
        </w:rPr>
        <w:t>בר סמכותו של בג"ץ לבצע ביקורת שיפוטית חוקתית</w:t>
      </w:r>
      <w:r w:rsidR="00200D40" w:rsidRPr="00106D3A">
        <w:rPr>
          <w:rFonts w:hint="cs"/>
          <w:sz w:val="24"/>
          <w:rtl/>
        </w:rPr>
        <w:t>, מ</w:t>
      </w:r>
      <w:r w:rsidR="00DE24E1" w:rsidRPr="00106D3A">
        <w:rPr>
          <w:rFonts w:hint="cs"/>
          <w:sz w:val="24"/>
          <w:rtl/>
        </w:rPr>
        <w:t xml:space="preserve">רגע </w:t>
      </w:r>
      <w:r w:rsidR="00200D40" w:rsidRPr="00106D3A">
        <w:rPr>
          <w:rFonts w:hint="cs"/>
          <w:sz w:val="24"/>
          <w:rtl/>
        </w:rPr>
        <w:t>שזו הוכרה במשפט הישראלי</w:t>
      </w:r>
      <w:r w:rsidR="00BC5D01" w:rsidRPr="00106D3A">
        <w:rPr>
          <w:rFonts w:hint="cs"/>
          <w:sz w:val="24"/>
          <w:rtl/>
        </w:rPr>
        <w:t xml:space="preserve">. </w:t>
      </w:r>
    </w:p>
    <w:p w:rsidR="00666C2D" w:rsidRPr="00106D3A" w:rsidRDefault="00666C2D" w:rsidP="00C67BF4">
      <w:pPr>
        <w:ind w:firstLine="720"/>
        <w:jc w:val="both"/>
        <w:rPr>
          <w:sz w:val="24"/>
          <w:rtl/>
        </w:rPr>
      </w:pPr>
      <w:r w:rsidRPr="00106D3A">
        <w:rPr>
          <w:rFonts w:hint="cs"/>
          <w:sz w:val="24"/>
          <w:rtl/>
        </w:rPr>
        <w:t xml:space="preserve">ואמנם, אף שפסק דין בנק המזרחי ניתן בערעור במסורת הביזורית, כמעט כל הפעילות החוקתית של בית המשפט העליון מאותו שלב נעשתה בסמכותו כבג"ץ. </w:t>
      </w:r>
      <w:r w:rsidR="00631B6E" w:rsidRPr="00106D3A">
        <w:rPr>
          <w:rFonts w:hint="cs"/>
          <w:sz w:val="24"/>
          <w:rtl/>
        </w:rPr>
        <w:t xml:space="preserve">כך היה בכל פסקי הדין </w:t>
      </w:r>
      <w:r w:rsidR="00631B6E" w:rsidRPr="00106D3A">
        <w:rPr>
          <w:rFonts w:hint="cs"/>
          <w:sz w:val="24"/>
          <w:rtl/>
        </w:rPr>
        <w:lastRenderedPageBreak/>
        <w:t>שבהם ביצע בית המשפט העליון ביקורת שיפוטית חוקתית</w:t>
      </w:r>
      <w:r w:rsidR="00F91698" w:rsidRPr="00106D3A">
        <w:rPr>
          <w:rFonts w:hint="cs"/>
          <w:sz w:val="24"/>
          <w:rtl/>
        </w:rPr>
        <w:t xml:space="preserve">, למעט </w:t>
      </w:r>
      <w:r w:rsidR="00C67BF4" w:rsidRPr="00106D3A">
        <w:rPr>
          <w:rFonts w:hint="cs"/>
          <w:sz w:val="24"/>
          <w:rtl/>
        </w:rPr>
        <w:t>בשני מקרים, שנדונו בצמוד לעתירות ציבוריות זהות לבג"ץ</w:t>
      </w:r>
      <w:r w:rsidR="003912F2" w:rsidRPr="00106D3A">
        <w:rPr>
          <w:rFonts w:hint="cs"/>
          <w:sz w:val="24"/>
          <w:rtl/>
        </w:rPr>
        <w:t>,</w:t>
      </w:r>
      <w:r w:rsidR="009D026A" w:rsidRPr="00106D3A">
        <w:rPr>
          <w:rStyle w:val="FootnoteReference"/>
          <w:sz w:val="24"/>
          <w:rtl/>
        </w:rPr>
        <w:footnoteReference w:id="45"/>
      </w:r>
      <w:r w:rsidR="002126E8" w:rsidRPr="00106D3A">
        <w:rPr>
          <w:rFonts w:hint="cs"/>
          <w:sz w:val="24"/>
          <w:rtl/>
        </w:rPr>
        <w:t xml:space="preserve"> </w:t>
      </w:r>
      <w:r w:rsidR="00D454E1" w:rsidRPr="00106D3A">
        <w:rPr>
          <w:rFonts w:hint="cs"/>
          <w:sz w:val="24"/>
          <w:rtl/>
        </w:rPr>
        <w:t>וכך</w:t>
      </w:r>
      <w:r w:rsidR="00616D8F" w:rsidRPr="00106D3A">
        <w:rPr>
          <w:rFonts w:hint="cs"/>
          <w:sz w:val="24"/>
          <w:rtl/>
        </w:rPr>
        <w:t xml:space="preserve"> הדבר</w:t>
      </w:r>
      <w:r w:rsidR="00D454E1" w:rsidRPr="00106D3A">
        <w:rPr>
          <w:rFonts w:hint="cs"/>
          <w:sz w:val="24"/>
          <w:rtl/>
        </w:rPr>
        <w:t xml:space="preserve"> בעשרות </w:t>
      </w:r>
      <w:r w:rsidR="00616D8F" w:rsidRPr="00106D3A">
        <w:rPr>
          <w:rFonts w:hint="cs"/>
          <w:sz w:val="24"/>
          <w:rtl/>
        </w:rPr>
        <w:t>ה</w:t>
      </w:r>
      <w:r w:rsidR="00D454E1" w:rsidRPr="00106D3A">
        <w:rPr>
          <w:rFonts w:hint="cs"/>
          <w:sz w:val="24"/>
          <w:rtl/>
        </w:rPr>
        <w:t>מקרים בהם ד</w:t>
      </w:r>
      <w:r w:rsidR="00616D8F" w:rsidRPr="00106D3A">
        <w:rPr>
          <w:rFonts w:hint="cs"/>
          <w:sz w:val="24"/>
          <w:rtl/>
        </w:rPr>
        <w:t>ו</w:t>
      </w:r>
      <w:r w:rsidR="00D454E1" w:rsidRPr="00106D3A">
        <w:rPr>
          <w:rFonts w:hint="cs"/>
          <w:sz w:val="24"/>
          <w:rtl/>
        </w:rPr>
        <w:t xml:space="preserve">חה בית המשפט העליון עתירות חוקתיות. </w:t>
      </w:r>
      <w:r w:rsidR="0034086C" w:rsidRPr="00106D3A">
        <w:rPr>
          <w:rFonts w:hint="cs"/>
          <w:sz w:val="24"/>
          <w:rtl/>
        </w:rPr>
        <w:t xml:space="preserve">ברוב המקרים הללו נדחות העתירות לגופן; </w:t>
      </w:r>
      <w:r w:rsidR="00112EDA" w:rsidRPr="00106D3A">
        <w:rPr>
          <w:rFonts w:hint="cs"/>
          <w:sz w:val="24"/>
          <w:rtl/>
        </w:rPr>
        <w:t>לעתים רחוקות בוחר בג"ץ, במסגרת שיקול דעתו, שלא להפעיל את סמכותו ו</w:t>
      </w:r>
      <w:r w:rsidR="0017073F" w:rsidRPr="00106D3A">
        <w:rPr>
          <w:rFonts w:hint="cs"/>
          <w:sz w:val="24"/>
          <w:rtl/>
        </w:rPr>
        <w:t>מ</w:t>
      </w:r>
      <w:r w:rsidR="00112EDA" w:rsidRPr="00106D3A">
        <w:rPr>
          <w:rFonts w:hint="cs"/>
          <w:sz w:val="24"/>
          <w:rtl/>
        </w:rPr>
        <w:t xml:space="preserve">פנה את העתירה </w:t>
      </w:r>
      <w:r w:rsidR="0034086C" w:rsidRPr="00106D3A">
        <w:rPr>
          <w:rFonts w:hint="cs"/>
          <w:sz w:val="24"/>
          <w:rtl/>
        </w:rPr>
        <w:t>למסלול הביקורת הביזורית</w:t>
      </w:r>
      <w:r w:rsidR="00E7783B" w:rsidRPr="00106D3A">
        <w:rPr>
          <w:rFonts w:hint="cs"/>
          <w:sz w:val="24"/>
          <w:rtl/>
        </w:rPr>
        <w:t>.</w:t>
      </w:r>
      <w:r w:rsidR="007879B2" w:rsidRPr="00106D3A">
        <w:rPr>
          <w:rStyle w:val="FootnoteReference"/>
          <w:sz w:val="24"/>
          <w:rtl/>
        </w:rPr>
        <w:footnoteReference w:id="46"/>
      </w:r>
      <w:r w:rsidR="0034086C" w:rsidRPr="00106D3A">
        <w:rPr>
          <w:rFonts w:hint="cs"/>
          <w:sz w:val="24"/>
          <w:rtl/>
        </w:rPr>
        <w:t xml:space="preserve"> </w:t>
      </w:r>
      <w:r w:rsidR="00E7783B" w:rsidRPr="00106D3A">
        <w:rPr>
          <w:rFonts w:hint="cs"/>
          <w:sz w:val="24"/>
          <w:rtl/>
        </w:rPr>
        <w:t xml:space="preserve">למיטב ידיעתי </w:t>
      </w:r>
      <w:r w:rsidR="0034086C" w:rsidRPr="00106D3A">
        <w:rPr>
          <w:rFonts w:hint="cs"/>
          <w:sz w:val="24"/>
          <w:rtl/>
        </w:rPr>
        <w:t xml:space="preserve">מעולם לא </w:t>
      </w:r>
      <w:r w:rsidR="00E7783B" w:rsidRPr="00106D3A">
        <w:rPr>
          <w:rFonts w:hint="cs"/>
          <w:sz w:val="24"/>
          <w:rtl/>
        </w:rPr>
        <w:t xml:space="preserve">עורר </w:t>
      </w:r>
      <w:r w:rsidR="004F3E51" w:rsidRPr="00106D3A">
        <w:rPr>
          <w:rFonts w:hint="cs"/>
          <w:sz w:val="24"/>
          <w:rtl/>
        </w:rPr>
        <w:t>בית המשפט העליון ספק בסמכות</w:t>
      </w:r>
      <w:r w:rsidR="0072769E" w:rsidRPr="00106D3A">
        <w:rPr>
          <w:rFonts w:hint="cs"/>
          <w:sz w:val="24"/>
          <w:rtl/>
        </w:rPr>
        <w:t>ו</w:t>
      </w:r>
      <w:r w:rsidR="004F3E51" w:rsidRPr="00106D3A">
        <w:rPr>
          <w:rFonts w:hint="cs"/>
          <w:sz w:val="24"/>
          <w:rtl/>
        </w:rPr>
        <w:t xml:space="preserve"> </w:t>
      </w:r>
      <w:r w:rsidR="0072769E" w:rsidRPr="00106D3A">
        <w:rPr>
          <w:rFonts w:hint="cs"/>
          <w:sz w:val="24"/>
          <w:rtl/>
        </w:rPr>
        <w:t>כ</w:t>
      </w:r>
      <w:r w:rsidR="004F3E51" w:rsidRPr="00106D3A">
        <w:rPr>
          <w:rFonts w:hint="cs"/>
          <w:sz w:val="24"/>
          <w:rtl/>
        </w:rPr>
        <w:t xml:space="preserve">בג"ץ </w:t>
      </w:r>
      <w:r w:rsidR="0034086C" w:rsidRPr="00106D3A">
        <w:rPr>
          <w:rFonts w:hint="cs"/>
          <w:sz w:val="24"/>
          <w:rtl/>
        </w:rPr>
        <w:t xml:space="preserve">לבצע ביקורת שיפוטית. </w:t>
      </w:r>
    </w:p>
    <w:p w:rsidR="00C8363E" w:rsidRPr="00106D3A" w:rsidRDefault="00123356" w:rsidP="00325A8E">
      <w:pPr>
        <w:ind w:firstLine="720"/>
        <w:jc w:val="both"/>
        <w:rPr>
          <w:sz w:val="24"/>
          <w:rtl/>
        </w:rPr>
      </w:pPr>
      <w:r w:rsidRPr="00106D3A">
        <w:rPr>
          <w:rFonts w:hint="cs"/>
          <w:sz w:val="24"/>
          <w:rtl/>
        </w:rPr>
        <w:t xml:space="preserve">אמת, </w:t>
      </w:r>
      <w:r w:rsidR="006C7E99" w:rsidRPr="00106D3A">
        <w:rPr>
          <w:rFonts w:hint="cs"/>
          <w:sz w:val="24"/>
          <w:rtl/>
        </w:rPr>
        <w:t xml:space="preserve">מבחינה פורמאלית </w:t>
      </w:r>
      <w:r w:rsidR="006F3DA3" w:rsidRPr="00106D3A">
        <w:rPr>
          <w:rFonts w:hint="cs"/>
          <w:sz w:val="24"/>
          <w:rtl/>
        </w:rPr>
        <w:t xml:space="preserve">ניתן </w:t>
      </w:r>
      <w:r w:rsidR="0020558C" w:rsidRPr="00106D3A">
        <w:rPr>
          <w:rFonts w:hint="cs"/>
          <w:sz w:val="24"/>
          <w:rtl/>
        </w:rPr>
        <w:t xml:space="preserve">אולי </w:t>
      </w:r>
      <w:r w:rsidR="00D62892" w:rsidRPr="00106D3A">
        <w:rPr>
          <w:rFonts w:hint="cs"/>
          <w:sz w:val="24"/>
          <w:rtl/>
        </w:rPr>
        <w:t xml:space="preserve">להתייחס אל </w:t>
      </w:r>
      <w:r w:rsidR="006F3DA3" w:rsidRPr="00106D3A">
        <w:rPr>
          <w:rFonts w:hint="cs"/>
          <w:sz w:val="24"/>
          <w:rtl/>
        </w:rPr>
        <w:t xml:space="preserve">בג"ץ </w:t>
      </w:r>
      <w:r w:rsidR="0044376C" w:rsidRPr="00106D3A">
        <w:rPr>
          <w:rFonts w:hint="cs"/>
          <w:sz w:val="24"/>
          <w:rtl/>
        </w:rPr>
        <w:t xml:space="preserve">כאל </w:t>
      </w:r>
      <w:r w:rsidR="006F3DA3" w:rsidRPr="00106D3A">
        <w:rPr>
          <w:rFonts w:hint="cs"/>
          <w:sz w:val="24"/>
          <w:rtl/>
        </w:rPr>
        <w:t xml:space="preserve">עוד ערכאה ראשונה במערכת המשפט הישראלית, כזו שסמכותה </w:t>
      </w:r>
      <w:r w:rsidR="000A230C" w:rsidRPr="00106D3A">
        <w:rPr>
          <w:rFonts w:hint="cs"/>
          <w:sz w:val="24"/>
          <w:rtl/>
        </w:rPr>
        <w:t xml:space="preserve">העניינית </w:t>
      </w:r>
      <w:r w:rsidR="006F3DA3" w:rsidRPr="00106D3A">
        <w:rPr>
          <w:rFonts w:hint="cs"/>
          <w:sz w:val="24"/>
          <w:rtl/>
        </w:rPr>
        <w:t xml:space="preserve">היא במתן צווים </w:t>
      </w:r>
      <w:r w:rsidR="0020558C" w:rsidRPr="00106D3A">
        <w:rPr>
          <w:rFonts w:hint="cs"/>
          <w:sz w:val="24"/>
          <w:rtl/>
        </w:rPr>
        <w:t xml:space="preserve">נגד </w:t>
      </w:r>
      <w:r w:rsidR="006F3DA3" w:rsidRPr="00106D3A">
        <w:rPr>
          <w:rFonts w:hint="cs"/>
          <w:sz w:val="24"/>
          <w:rtl/>
        </w:rPr>
        <w:t xml:space="preserve">רשויות השלטון ושבמקרה אין מעליה ערכאת ערעור. </w:t>
      </w:r>
      <w:r w:rsidR="0020558C" w:rsidRPr="00106D3A">
        <w:rPr>
          <w:rFonts w:hint="cs"/>
          <w:sz w:val="24"/>
          <w:rtl/>
        </w:rPr>
        <w:t xml:space="preserve">במובן זה </w:t>
      </w:r>
      <w:r w:rsidR="00D62892" w:rsidRPr="00106D3A">
        <w:rPr>
          <w:rFonts w:hint="cs"/>
          <w:sz w:val="24"/>
          <w:rtl/>
        </w:rPr>
        <w:t>ייאמר ש</w:t>
      </w:r>
      <w:r w:rsidR="0020558C" w:rsidRPr="00106D3A">
        <w:rPr>
          <w:rFonts w:hint="cs"/>
          <w:sz w:val="24"/>
          <w:rtl/>
        </w:rPr>
        <w:t xml:space="preserve">בג"ץ מפעיל סמכותו כחלק משיטה ביזורית, ככל ערכאה אחרת שמוסמכת </w:t>
      </w:r>
      <w:r w:rsidR="0020558C" w:rsidRPr="00106D3A">
        <w:rPr>
          <w:sz w:val="24"/>
          <w:rtl/>
        </w:rPr>
        <w:t>–</w:t>
      </w:r>
      <w:r w:rsidR="0020558C" w:rsidRPr="00106D3A">
        <w:rPr>
          <w:rFonts w:hint="cs"/>
          <w:sz w:val="24"/>
          <w:rtl/>
        </w:rPr>
        <w:t xml:space="preserve"> ערכאה </w:t>
      </w:r>
      <w:proofErr w:type="spellStart"/>
      <w:r w:rsidR="0020558C" w:rsidRPr="00106D3A">
        <w:rPr>
          <w:rFonts w:hint="cs"/>
          <w:sz w:val="24"/>
          <w:rtl/>
        </w:rPr>
        <w:t>ערכאה</w:t>
      </w:r>
      <w:proofErr w:type="spellEnd"/>
      <w:r w:rsidR="0020558C" w:rsidRPr="00106D3A">
        <w:rPr>
          <w:rFonts w:hint="cs"/>
          <w:sz w:val="24"/>
          <w:rtl/>
        </w:rPr>
        <w:t xml:space="preserve"> לפי רמתה ו</w:t>
      </w:r>
      <w:r w:rsidR="00742C94" w:rsidRPr="00106D3A">
        <w:rPr>
          <w:rFonts w:hint="cs"/>
          <w:sz w:val="24"/>
          <w:rtl/>
        </w:rPr>
        <w:t xml:space="preserve">היקף </w:t>
      </w:r>
      <w:r w:rsidR="0020558C" w:rsidRPr="00106D3A">
        <w:rPr>
          <w:rFonts w:hint="cs"/>
          <w:sz w:val="24"/>
          <w:rtl/>
        </w:rPr>
        <w:t xml:space="preserve">סמכותה העניינית </w:t>
      </w:r>
      <w:r w:rsidR="00742C94" w:rsidRPr="00106D3A">
        <w:rPr>
          <w:sz w:val="24"/>
          <w:rtl/>
        </w:rPr>
        <w:t>–</w:t>
      </w:r>
      <w:r w:rsidR="0020558C" w:rsidRPr="00106D3A">
        <w:rPr>
          <w:rFonts w:hint="cs"/>
          <w:sz w:val="24"/>
          <w:rtl/>
        </w:rPr>
        <w:t xml:space="preserve"> </w:t>
      </w:r>
      <w:r w:rsidR="00742C94" w:rsidRPr="00106D3A">
        <w:rPr>
          <w:rFonts w:hint="cs"/>
          <w:sz w:val="24"/>
          <w:rtl/>
        </w:rPr>
        <w:t xml:space="preserve">לדון בטענות חוקתיות. </w:t>
      </w:r>
      <w:r w:rsidR="00C8363E" w:rsidRPr="00106D3A">
        <w:rPr>
          <w:rFonts w:hint="cs"/>
          <w:sz w:val="24"/>
          <w:rtl/>
        </w:rPr>
        <w:t>העובדה שבית המשפט העליון אינו ערכאה חוקתית ריכוזית טיפוסית במסורת בתי המשפט החוקתיים של</w:t>
      </w:r>
      <w:r w:rsidR="00325A8E" w:rsidRPr="00106D3A">
        <w:rPr>
          <w:rFonts w:hint="cs"/>
          <w:sz w:val="24"/>
          <w:rtl/>
        </w:rPr>
        <w:t xml:space="preserve"> מרכז ומזרח אירופה</w:t>
      </w:r>
      <w:r w:rsidR="00C8363E" w:rsidRPr="00106D3A">
        <w:rPr>
          <w:rFonts w:hint="cs"/>
          <w:sz w:val="24"/>
          <w:rtl/>
        </w:rPr>
        <w:t xml:space="preserve">, דרום אפריקה, או דרום אמריקה, עשויה לתמוך בתפיסה כזו. המומחיות של שופטיו אינה בפרשנות חוקתית דווקא, אלא בשפיטה "רגילה" </w:t>
      </w:r>
      <w:r w:rsidR="00C8363E" w:rsidRPr="00106D3A">
        <w:rPr>
          <w:sz w:val="24"/>
          <w:rtl/>
        </w:rPr>
        <w:t>–</w:t>
      </w:r>
      <w:r w:rsidR="00C8363E" w:rsidRPr="00106D3A">
        <w:rPr>
          <w:rFonts w:hint="cs"/>
          <w:sz w:val="24"/>
          <w:rtl/>
        </w:rPr>
        <w:t xml:space="preserve"> רוב שופטי העליון כיהנו לפני כן כשופטים מקצועיים בערכאות הדיון, והם ממונים בהליך זהה לזה המתקיים במינוי יתר שופטי המערכת,</w:t>
      </w:r>
      <w:r w:rsidR="00C8363E" w:rsidRPr="00106D3A">
        <w:rPr>
          <w:rStyle w:val="FootnoteReference"/>
          <w:sz w:val="24"/>
          <w:rtl/>
        </w:rPr>
        <w:footnoteReference w:id="47"/>
      </w:r>
      <w:r w:rsidR="00C8363E" w:rsidRPr="00106D3A">
        <w:rPr>
          <w:rFonts w:hint="cs"/>
          <w:sz w:val="24"/>
          <w:rtl/>
        </w:rPr>
        <w:t xml:space="preserve"> </w:t>
      </w:r>
      <w:r w:rsidR="00375620" w:rsidRPr="00106D3A">
        <w:rPr>
          <w:rFonts w:hint="cs"/>
          <w:sz w:val="24"/>
          <w:rtl/>
        </w:rPr>
        <w:t>ללא</w:t>
      </w:r>
      <w:r w:rsidR="00C8363E" w:rsidRPr="00106D3A">
        <w:rPr>
          <w:rFonts w:hint="cs"/>
          <w:sz w:val="24"/>
          <w:rtl/>
        </w:rPr>
        <w:t xml:space="preserve"> רכיב פוליטי או ייצוגי ייחודי.  </w:t>
      </w:r>
    </w:p>
    <w:p w:rsidR="002F33F9" w:rsidRPr="00106D3A" w:rsidRDefault="00BB4423" w:rsidP="002F407D">
      <w:pPr>
        <w:ind w:firstLine="720"/>
        <w:jc w:val="both"/>
        <w:rPr>
          <w:sz w:val="24"/>
          <w:rtl/>
        </w:rPr>
      </w:pPr>
      <w:r w:rsidRPr="00106D3A">
        <w:rPr>
          <w:rFonts w:hint="cs"/>
          <w:sz w:val="24"/>
          <w:rtl/>
        </w:rPr>
        <w:t xml:space="preserve">אך בפועל ברור שזהו תיאור שמחמיץ את המאפיינים המוסדיים ואת התנאים הפוליטיים של פעילותו החוקתית של בג"ץ. מבחינה מהותית זו ערכאה ריכוזית </w:t>
      </w:r>
      <w:r w:rsidR="00A56FE5" w:rsidRPr="00106D3A">
        <w:rPr>
          <w:rFonts w:hint="cs"/>
          <w:sz w:val="24"/>
          <w:rtl/>
        </w:rPr>
        <w:t xml:space="preserve">טיפוסית </w:t>
      </w:r>
      <w:r w:rsidRPr="00106D3A">
        <w:rPr>
          <w:rFonts w:hint="cs"/>
          <w:sz w:val="24"/>
          <w:rtl/>
        </w:rPr>
        <w:t>לכל דבר</w:t>
      </w:r>
      <w:r w:rsidR="006B3128" w:rsidRPr="00106D3A">
        <w:rPr>
          <w:rFonts w:hint="cs"/>
          <w:sz w:val="24"/>
          <w:rtl/>
        </w:rPr>
        <w:t>: ההגעה אליה נעשית באמצעות תקיפה ישירה, לא אחת מופשטת, של חקיקה ראשית.</w:t>
      </w:r>
      <w:bookmarkStart w:id="23" w:name="_Ref373312378"/>
      <w:r w:rsidR="006925F1" w:rsidRPr="00106D3A">
        <w:rPr>
          <w:rStyle w:val="FootnoteReference"/>
          <w:sz w:val="24"/>
          <w:rtl/>
        </w:rPr>
        <w:footnoteReference w:id="48"/>
      </w:r>
      <w:bookmarkEnd w:id="23"/>
      <w:r w:rsidR="006B3128" w:rsidRPr="00106D3A">
        <w:rPr>
          <w:rFonts w:hint="cs"/>
          <w:sz w:val="24"/>
          <w:rtl/>
        </w:rPr>
        <w:t xml:space="preserve"> </w:t>
      </w:r>
      <w:r w:rsidR="00A81142" w:rsidRPr="00106D3A">
        <w:rPr>
          <w:rFonts w:hint="cs"/>
          <w:sz w:val="24"/>
          <w:rtl/>
        </w:rPr>
        <w:t xml:space="preserve">ההליכים בה מתנהלים לפי סדרי דין ודיני ראיות ייחודיים, </w:t>
      </w:r>
      <w:r w:rsidR="00780BBF" w:rsidRPr="00106D3A">
        <w:rPr>
          <w:rFonts w:hint="cs"/>
          <w:sz w:val="24"/>
          <w:rtl/>
        </w:rPr>
        <w:t xml:space="preserve">בדרך כלל בפני הרכבים מורחבים, </w:t>
      </w:r>
      <w:r w:rsidR="00A81142" w:rsidRPr="00106D3A">
        <w:rPr>
          <w:rFonts w:hint="cs"/>
          <w:sz w:val="24"/>
          <w:rtl/>
        </w:rPr>
        <w:t xml:space="preserve">וגם האסתטיקה של ההליך </w:t>
      </w:r>
      <w:r w:rsidR="002F407D" w:rsidRPr="00106D3A">
        <w:rPr>
          <w:rFonts w:hint="cs"/>
          <w:sz w:val="24"/>
          <w:rtl/>
        </w:rPr>
        <w:t>ה</w:t>
      </w:r>
      <w:r w:rsidR="00A81142" w:rsidRPr="00106D3A">
        <w:rPr>
          <w:rFonts w:hint="cs"/>
          <w:sz w:val="24"/>
          <w:rtl/>
        </w:rPr>
        <w:t xml:space="preserve">מתנהל </w:t>
      </w:r>
      <w:r w:rsidR="002F407D" w:rsidRPr="00106D3A">
        <w:rPr>
          <w:rFonts w:hint="cs"/>
          <w:sz w:val="24"/>
          <w:rtl/>
        </w:rPr>
        <w:t xml:space="preserve">בבג"ץ </w:t>
      </w:r>
      <w:r w:rsidR="00A81142" w:rsidRPr="00106D3A">
        <w:rPr>
          <w:rFonts w:hint="cs"/>
          <w:sz w:val="24"/>
          <w:rtl/>
        </w:rPr>
        <w:t xml:space="preserve">מצביעה על ייחודיות המעמד. לדיונים בפני בג"ץ ולפסקי הדין </w:t>
      </w:r>
      <w:r w:rsidR="00C02237" w:rsidRPr="00106D3A">
        <w:rPr>
          <w:rFonts w:hint="cs"/>
          <w:sz w:val="24"/>
          <w:rtl/>
        </w:rPr>
        <w:t xml:space="preserve">החוקתיים </w:t>
      </w:r>
      <w:r w:rsidR="00A81142" w:rsidRPr="00106D3A">
        <w:rPr>
          <w:rFonts w:hint="cs"/>
          <w:sz w:val="24"/>
          <w:rtl/>
        </w:rPr>
        <w:t xml:space="preserve">שלו יש נראות חריגה </w:t>
      </w:r>
      <w:r w:rsidR="00A81142" w:rsidRPr="00106D3A">
        <w:rPr>
          <w:sz w:val="24"/>
          <w:rtl/>
        </w:rPr>
        <w:t>–</w:t>
      </w:r>
      <w:r w:rsidR="00A81142" w:rsidRPr="00106D3A">
        <w:rPr>
          <w:rFonts w:hint="cs"/>
          <w:sz w:val="24"/>
          <w:rtl/>
        </w:rPr>
        <w:t xml:space="preserve"> תשומת הלב הפוליטית, התקשורתית והאקדמית מופנית בראש ובראשונה אליו. וחשוב מכל, העתירות המוגשות לו ופסיקותיו החוקתיות הן ככלל מעשים חד-פעמי</w:t>
      </w:r>
      <w:r w:rsidR="004D690E" w:rsidRPr="00106D3A">
        <w:rPr>
          <w:rFonts w:hint="cs"/>
          <w:sz w:val="24"/>
          <w:rtl/>
        </w:rPr>
        <w:t>ים</w:t>
      </w:r>
      <w:r w:rsidR="00A81142" w:rsidRPr="00106D3A">
        <w:rPr>
          <w:rFonts w:hint="cs"/>
          <w:sz w:val="24"/>
          <w:rtl/>
        </w:rPr>
        <w:t xml:space="preserve"> של "</w:t>
      </w:r>
      <w:proofErr w:type="spellStart"/>
      <w:r w:rsidR="00A81142" w:rsidRPr="00106D3A">
        <w:rPr>
          <w:rFonts w:hint="cs"/>
          <w:sz w:val="24"/>
          <w:rtl/>
        </w:rPr>
        <w:t>הכל</w:t>
      </w:r>
      <w:proofErr w:type="spellEnd"/>
      <w:r w:rsidR="00A81142" w:rsidRPr="00106D3A">
        <w:rPr>
          <w:rFonts w:hint="cs"/>
          <w:sz w:val="24"/>
          <w:rtl/>
        </w:rPr>
        <w:t xml:space="preserve">-או-לא-כלום". </w:t>
      </w:r>
      <w:r w:rsidR="00457237" w:rsidRPr="00106D3A">
        <w:rPr>
          <w:rFonts w:hint="cs"/>
          <w:sz w:val="24"/>
          <w:rtl/>
        </w:rPr>
        <w:t>עתירה מוצלחת משמעה ביטול מיידי של חקיקה כלפי כולי עלמא. עתירה שנדחית משמעה, כמעט תמיד, הכשרה סופית של דבר החקיקה.</w:t>
      </w:r>
      <w:bookmarkStart w:id="24" w:name="_Ref365894074"/>
      <w:r w:rsidR="006B4910" w:rsidRPr="00106D3A">
        <w:rPr>
          <w:rStyle w:val="FootnoteReference"/>
          <w:sz w:val="24"/>
          <w:rtl/>
        </w:rPr>
        <w:footnoteReference w:id="49"/>
      </w:r>
      <w:bookmarkEnd w:id="24"/>
      <w:r w:rsidR="00457237" w:rsidRPr="00106D3A">
        <w:rPr>
          <w:rFonts w:hint="cs"/>
          <w:sz w:val="24"/>
          <w:rtl/>
        </w:rPr>
        <w:t xml:space="preserve"> </w:t>
      </w:r>
    </w:p>
    <w:p w:rsidR="00F1708C" w:rsidRPr="00106D3A" w:rsidRDefault="00D83C03" w:rsidP="00B014E7">
      <w:pPr>
        <w:ind w:firstLine="720"/>
        <w:jc w:val="both"/>
        <w:rPr>
          <w:sz w:val="24"/>
          <w:rtl/>
        </w:rPr>
      </w:pPr>
      <w:r w:rsidRPr="00106D3A">
        <w:rPr>
          <w:rFonts w:hint="cs"/>
          <w:sz w:val="24"/>
          <w:rtl/>
        </w:rPr>
        <w:t>אין זה מפתיע אפוא שעותרים ציבוריים, שגישתם לערכאות הורחבה סמוך להופעתה של סמכות הביקורת השיפוטית במשפט החוקת</w:t>
      </w:r>
      <w:r w:rsidR="00780BBF" w:rsidRPr="00106D3A">
        <w:rPr>
          <w:rFonts w:hint="cs"/>
          <w:sz w:val="24"/>
          <w:rtl/>
        </w:rPr>
        <w:t>י הישראלי, מקדישים את עיקר</w:t>
      </w:r>
      <w:r w:rsidRPr="00106D3A">
        <w:rPr>
          <w:rFonts w:hint="cs"/>
          <w:sz w:val="24"/>
          <w:rtl/>
        </w:rPr>
        <w:t xml:space="preserve"> מאמציהם במישור </w:t>
      </w:r>
      <w:r w:rsidR="00577595" w:rsidRPr="00106D3A">
        <w:rPr>
          <w:rFonts w:hint="cs"/>
          <w:sz w:val="24"/>
          <w:rtl/>
        </w:rPr>
        <w:t xml:space="preserve">הביקורת השיפוטית בעתירות מרוכזות לבג"ץ, ולא בניהול </w:t>
      </w:r>
      <w:proofErr w:type="spellStart"/>
      <w:r w:rsidR="00577595" w:rsidRPr="00106D3A">
        <w:rPr>
          <w:rFonts w:hint="cs"/>
          <w:sz w:val="24"/>
          <w:rtl/>
        </w:rPr>
        <w:t>ליטיגציות</w:t>
      </w:r>
      <w:proofErr w:type="spellEnd"/>
      <w:r w:rsidR="00577595" w:rsidRPr="00106D3A">
        <w:rPr>
          <w:rFonts w:hint="cs"/>
          <w:sz w:val="24"/>
          <w:rtl/>
        </w:rPr>
        <w:t xml:space="preserve"> מגוונות בערכאות הדיון השונות</w:t>
      </w:r>
      <w:r w:rsidR="001A1650" w:rsidRPr="00106D3A">
        <w:rPr>
          <w:rFonts w:hint="cs"/>
          <w:sz w:val="24"/>
          <w:rtl/>
        </w:rPr>
        <w:t>, שסיכוייהן נמוכים (כפי שראינו) ושתחום חלותן, אפילו הצליחו, מוגבל</w:t>
      </w:r>
      <w:r w:rsidR="00577595" w:rsidRPr="00106D3A">
        <w:rPr>
          <w:rFonts w:hint="cs"/>
          <w:sz w:val="24"/>
          <w:rtl/>
        </w:rPr>
        <w:t xml:space="preserve">. </w:t>
      </w:r>
      <w:r w:rsidR="00780BBF" w:rsidRPr="00106D3A">
        <w:rPr>
          <w:rFonts w:hint="cs"/>
          <w:sz w:val="24"/>
          <w:rtl/>
        </w:rPr>
        <w:t xml:space="preserve">העתירה </w:t>
      </w:r>
      <w:r w:rsidR="00780BBF" w:rsidRPr="00106D3A">
        <w:rPr>
          <w:rFonts w:hint="cs"/>
          <w:sz w:val="24"/>
          <w:rtl/>
        </w:rPr>
        <w:lastRenderedPageBreak/>
        <w:t xml:space="preserve">החוקתית לבג"ץ היא באופן מעשי "המשחק היחיד" כיום בקרב השחקנים המשמעותיים בתחום ההגנה </w:t>
      </w:r>
      <w:r w:rsidR="001A1650" w:rsidRPr="00106D3A">
        <w:rPr>
          <w:rFonts w:hint="cs"/>
          <w:sz w:val="24"/>
          <w:rtl/>
        </w:rPr>
        <w:t xml:space="preserve">המשפטית </w:t>
      </w:r>
      <w:r w:rsidR="00780BBF" w:rsidRPr="00106D3A">
        <w:rPr>
          <w:rFonts w:hint="cs"/>
          <w:sz w:val="24"/>
          <w:rtl/>
        </w:rPr>
        <w:t xml:space="preserve">על זכויות אדם. </w:t>
      </w:r>
      <w:r w:rsidR="001A1650" w:rsidRPr="00106D3A">
        <w:rPr>
          <w:rFonts w:hint="cs"/>
          <w:sz w:val="24"/>
          <w:rtl/>
        </w:rPr>
        <w:t>זהו המקום בו מבוטלים בפועל חוקים של הכנסת, וזהו המקום בו מו</w:t>
      </w:r>
      <w:r w:rsidR="00A56FE5" w:rsidRPr="00106D3A">
        <w:rPr>
          <w:rFonts w:hint="cs"/>
          <w:sz w:val="24"/>
          <w:rtl/>
        </w:rPr>
        <w:t>ּ</w:t>
      </w:r>
      <w:r w:rsidR="001A1650" w:rsidRPr="00106D3A">
        <w:rPr>
          <w:rFonts w:hint="cs"/>
          <w:sz w:val="24"/>
          <w:rtl/>
        </w:rPr>
        <w:t>נ</w:t>
      </w:r>
      <w:r w:rsidR="00A56FE5" w:rsidRPr="00106D3A">
        <w:rPr>
          <w:rFonts w:hint="cs"/>
          <w:sz w:val="24"/>
          <w:rtl/>
        </w:rPr>
        <w:t>ָ</w:t>
      </w:r>
      <w:r w:rsidR="001A1650" w:rsidRPr="00106D3A">
        <w:rPr>
          <w:rFonts w:hint="cs"/>
          <w:sz w:val="24"/>
          <w:rtl/>
        </w:rPr>
        <w:t>עים תהליכים חקיקתיים משמעותיים כמע</w:t>
      </w:r>
      <w:r w:rsidR="00190979" w:rsidRPr="00106D3A">
        <w:rPr>
          <w:rFonts w:hint="cs"/>
          <w:sz w:val="24"/>
          <w:rtl/>
        </w:rPr>
        <w:t>נ</w:t>
      </w:r>
      <w:r w:rsidR="001A1650" w:rsidRPr="00106D3A">
        <w:rPr>
          <w:rFonts w:hint="cs"/>
          <w:sz w:val="24"/>
          <w:rtl/>
        </w:rPr>
        <w:t>ה לפסיקות בית המשפט.</w:t>
      </w:r>
      <w:r w:rsidR="00F103F3" w:rsidRPr="00106D3A">
        <w:rPr>
          <w:rFonts w:hint="cs"/>
          <w:sz w:val="24"/>
          <w:rtl/>
        </w:rPr>
        <w:t xml:space="preserve"> (כמובן, זהו גם המקום בו חוקים </w:t>
      </w:r>
      <w:r w:rsidR="00B37AB3" w:rsidRPr="00106D3A">
        <w:rPr>
          <w:rFonts w:hint="cs"/>
          <w:sz w:val="24"/>
          <w:rtl/>
        </w:rPr>
        <w:t xml:space="preserve">רבים מאוד </w:t>
      </w:r>
      <w:r w:rsidR="00F103F3" w:rsidRPr="00106D3A">
        <w:rPr>
          <w:rFonts w:hint="cs"/>
          <w:sz w:val="24"/>
          <w:rtl/>
        </w:rPr>
        <w:t xml:space="preserve">מקבלים </w:t>
      </w:r>
      <w:r w:rsidR="00353534" w:rsidRPr="00106D3A">
        <w:rPr>
          <w:rFonts w:hint="cs"/>
          <w:sz w:val="24"/>
          <w:rtl/>
        </w:rPr>
        <w:t xml:space="preserve">"הכשר" </w:t>
      </w:r>
      <w:proofErr w:type="spellStart"/>
      <w:r w:rsidR="00F103F3" w:rsidRPr="00106D3A">
        <w:rPr>
          <w:rFonts w:hint="cs"/>
          <w:sz w:val="24"/>
          <w:rtl/>
        </w:rPr>
        <w:t>בג"צי</w:t>
      </w:r>
      <w:proofErr w:type="spellEnd"/>
      <w:r w:rsidR="00F103F3" w:rsidRPr="00106D3A">
        <w:rPr>
          <w:rFonts w:hint="cs"/>
          <w:sz w:val="24"/>
          <w:rtl/>
        </w:rPr>
        <w:t xml:space="preserve"> </w:t>
      </w:r>
      <w:r w:rsidR="00B37AB3" w:rsidRPr="00106D3A">
        <w:rPr>
          <w:rFonts w:hint="cs"/>
          <w:sz w:val="24"/>
          <w:rtl/>
        </w:rPr>
        <w:t>שבדרך כלל מסיי</w:t>
      </w:r>
      <w:r w:rsidR="00B014E7" w:rsidRPr="00106D3A">
        <w:rPr>
          <w:rFonts w:hint="cs"/>
          <w:sz w:val="24"/>
          <w:rtl/>
        </w:rPr>
        <w:t>ם</w:t>
      </w:r>
      <w:r w:rsidR="00B37AB3" w:rsidRPr="00106D3A">
        <w:rPr>
          <w:rFonts w:hint="cs"/>
          <w:sz w:val="24"/>
          <w:rtl/>
        </w:rPr>
        <w:t xml:space="preserve"> באחת את הדיון הציבורי בחוקתיותם </w:t>
      </w:r>
      <w:r w:rsidR="00B37AB3" w:rsidRPr="00106D3A">
        <w:rPr>
          <w:sz w:val="24"/>
          <w:rtl/>
        </w:rPr>
        <w:t>–</w:t>
      </w:r>
      <w:r w:rsidR="00B37AB3" w:rsidRPr="00106D3A">
        <w:rPr>
          <w:rFonts w:hint="cs"/>
          <w:sz w:val="24"/>
          <w:rtl/>
        </w:rPr>
        <w:t xml:space="preserve"> אשוב לכך בהמשך).</w:t>
      </w:r>
      <w:r w:rsidR="001A1650" w:rsidRPr="00106D3A">
        <w:rPr>
          <w:rFonts w:hint="cs"/>
          <w:sz w:val="24"/>
          <w:rtl/>
        </w:rPr>
        <w:t xml:space="preserve"> העתירה החוקתית לבג"ץ</w:t>
      </w:r>
      <w:r w:rsidR="00190979" w:rsidRPr="00106D3A">
        <w:rPr>
          <w:rFonts w:hint="cs"/>
          <w:sz w:val="24"/>
          <w:rtl/>
        </w:rPr>
        <w:t xml:space="preserve"> היא הליך זול ומהיר הרבה יותר מאשר החלופה של התדיינות </w:t>
      </w:r>
      <w:r w:rsidR="00E32B67" w:rsidRPr="00106D3A">
        <w:rPr>
          <w:rFonts w:hint="cs"/>
          <w:sz w:val="24"/>
          <w:rtl/>
        </w:rPr>
        <w:t>סדרתית</w:t>
      </w:r>
      <w:r w:rsidR="00190979" w:rsidRPr="00106D3A">
        <w:rPr>
          <w:rFonts w:hint="cs"/>
          <w:sz w:val="24"/>
          <w:rtl/>
        </w:rPr>
        <w:t xml:space="preserve"> </w:t>
      </w:r>
      <w:r w:rsidR="0080431D" w:rsidRPr="00106D3A">
        <w:rPr>
          <w:rFonts w:hint="cs"/>
          <w:sz w:val="24"/>
          <w:rtl/>
        </w:rPr>
        <w:t>בערכאות דיון רבות, בציפייה להגעתו של</w:t>
      </w:r>
      <w:r w:rsidR="00190979" w:rsidRPr="00106D3A">
        <w:rPr>
          <w:rFonts w:hint="cs"/>
          <w:sz w:val="24"/>
          <w:rtl/>
        </w:rPr>
        <w:t xml:space="preserve"> תיק מתאים, בסופו של תהליך, לביקורת </w:t>
      </w:r>
      <w:proofErr w:type="spellStart"/>
      <w:r w:rsidR="00190979" w:rsidRPr="00106D3A">
        <w:rPr>
          <w:rFonts w:hint="cs"/>
          <w:sz w:val="24"/>
          <w:rtl/>
        </w:rPr>
        <w:t>ערעורית</w:t>
      </w:r>
      <w:proofErr w:type="spellEnd"/>
      <w:r w:rsidR="00190979" w:rsidRPr="00106D3A">
        <w:rPr>
          <w:rFonts w:hint="cs"/>
          <w:sz w:val="24"/>
          <w:rtl/>
        </w:rPr>
        <w:t xml:space="preserve"> בבית המשפט העליון. </w:t>
      </w:r>
      <w:r w:rsidR="00946219" w:rsidRPr="00106D3A">
        <w:rPr>
          <w:rFonts w:hint="cs"/>
          <w:sz w:val="24"/>
          <w:rtl/>
        </w:rPr>
        <w:t xml:space="preserve">האפשרות לתקיפה ישירה מופשטת, שהתגבשה בפרקטיקה הישראלית כמאפיין ייחודי לעתירות חוקתיות בבג"ץ, </w:t>
      </w:r>
      <w:r w:rsidR="00CE0DA7" w:rsidRPr="00106D3A">
        <w:rPr>
          <w:rFonts w:hint="cs"/>
          <w:sz w:val="24"/>
          <w:rtl/>
        </w:rPr>
        <w:t>מזמינה הגשת עתירות מיד עם כניסת החוק לתוקף</w:t>
      </w:r>
      <w:r w:rsidR="00BB2894" w:rsidRPr="00106D3A">
        <w:rPr>
          <w:rFonts w:hint="cs"/>
          <w:sz w:val="24"/>
          <w:rtl/>
        </w:rPr>
        <w:t>. אלה יכולות להתבסס על טיעון משפטי טהור, אשר משולב לעתים בטענה עובדתית הסתברותית באשר להשלכות הצפויות של החוק.</w:t>
      </w:r>
      <w:bookmarkStart w:id="25" w:name="_Ref365893997"/>
      <w:r w:rsidR="00765C1A" w:rsidRPr="00106D3A">
        <w:rPr>
          <w:rStyle w:val="FootnoteReference"/>
          <w:sz w:val="24"/>
          <w:rtl/>
        </w:rPr>
        <w:footnoteReference w:id="50"/>
      </w:r>
      <w:bookmarkEnd w:id="25"/>
      <w:r w:rsidR="00BB2894" w:rsidRPr="00106D3A">
        <w:rPr>
          <w:rFonts w:hint="cs"/>
          <w:sz w:val="24"/>
          <w:rtl/>
        </w:rPr>
        <w:t xml:space="preserve"> </w:t>
      </w:r>
    </w:p>
    <w:p w:rsidR="00175C38" w:rsidRPr="00106D3A" w:rsidRDefault="00175C38" w:rsidP="00075B18">
      <w:pPr>
        <w:ind w:firstLine="720"/>
        <w:jc w:val="both"/>
        <w:rPr>
          <w:sz w:val="24"/>
          <w:rtl/>
        </w:rPr>
      </w:pPr>
      <w:r w:rsidRPr="00106D3A">
        <w:rPr>
          <w:rFonts w:hint="cs"/>
          <w:sz w:val="24"/>
          <w:rtl/>
        </w:rPr>
        <w:t>אם כן, למרות שהביקורת השיפוטית נוסח ישראל כוללת הן רכיבים ביזוריים והן רכיבים ריכוזיים, הפרקטיקה החוקתית שהתג</w:t>
      </w:r>
      <w:r w:rsidR="000D7AD1" w:rsidRPr="00106D3A">
        <w:rPr>
          <w:rFonts w:hint="cs"/>
          <w:sz w:val="24"/>
          <w:rtl/>
        </w:rPr>
        <w:t xml:space="preserve">בשה בשני העשורים שחלפו מאז פסק </w:t>
      </w:r>
      <w:r w:rsidRPr="00106D3A">
        <w:rPr>
          <w:rFonts w:hint="cs"/>
          <w:sz w:val="24"/>
          <w:rtl/>
        </w:rPr>
        <w:t xml:space="preserve">דין בנק המזרחי מלמדת על התגבשות המודל הריכוזי במסגרת בג"ץ כמסלול העיקרי </w:t>
      </w:r>
      <w:r w:rsidR="00075B18" w:rsidRPr="00106D3A">
        <w:rPr>
          <w:rFonts w:hint="cs"/>
          <w:sz w:val="24"/>
          <w:rtl/>
        </w:rPr>
        <w:t>להעלאת טענות חוקתיות</w:t>
      </w:r>
      <w:r w:rsidR="00BC1FE7" w:rsidRPr="00106D3A">
        <w:rPr>
          <w:rFonts w:hint="cs"/>
          <w:sz w:val="24"/>
          <w:rtl/>
        </w:rPr>
        <w:t xml:space="preserve"> </w:t>
      </w:r>
      <w:r w:rsidR="00075B18" w:rsidRPr="00106D3A">
        <w:rPr>
          <w:rFonts w:hint="cs"/>
          <w:sz w:val="24"/>
          <w:rtl/>
        </w:rPr>
        <w:t>ו</w:t>
      </w:r>
      <w:r w:rsidR="00BC1FE7" w:rsidRPr="00106D3A">
        <w:rPr>
          <w:rFonts w:hint="cs"/>
          <w:sz w:val="24"/>
          <w:rtl/>
        </w:rPr>
        <w:t xml:space="preserve">לבירורן. </w:t>
      </w:r>
      <w:r w:rsidR="00F067A5" w:rsidRPr="00106D3A">
        <w:rPr>
          <w:rFonts w:hint="cs"/>
          <w:sz w:val="24"/>
          <w:rtl/>
        </w:rPr>
        <w:t xml:space="preserve">נדמה שגם העותרים וגם שופטי ערכאות הדיון הפנימו </w:t>
      </w:r>
      <w:r w:rsidR="0054074D" w:rsidRPr="00106D3A">
        <w:rPr>
          <w:rFonts w:hint="cs"/>
          <w:sz w:val="24"/>
          <w:rtl/>
        </w:rPr>
        <w:t xml:space="preserve">את </w:t>
      </w:r>
      <w:r w:rsidR="00D43EE5" w:rsidRPr="00106D3A">
        <w:rPr>
          <w:rFonts w:hint="cs"/>
          <w:sz w:val="24"/>
          <w:rtl/>
        </w:rPr>
        <w:t xml:space="preserve">ההסדר </w:t>
      </w:r>
      <w:r w:rsidR="0054074D" w:rsidRPr="00106D3A">
        <w:rPr>
          <w:rFonts w:hint="cs"/>
          <w:sz w:val="24"/>
          <w:rtl/>
        </w:rPr>
        <w:t>ה</w:t>
      </w:r>
      <w:r w:rsidR="00F067A5" w:rsidRPr="00106D3A">
        <w:rPr>
          <w:rFonts w:hint="cs"/>
          <w:sz w:val="24"/>
          <w:rtl/>
        </w:rPr>
        <w:t xml:space="preserve">זה, </w:t>
      </w:r>
      <w:r w:rsidR="00D43EE5" w:rsidRPr="00106D3A">
        <w:rPr>
          <w:rFonts w:hint="cs"/>
          <w:sz w:val="24"/>
          <w:rtl/>
        </w:rPr>
        <w:t>כך ש</w:t>
      </w:r>
      <w:r w:rsidR="0054074D" w:rsidRPr="00106D3A">
        <w:rPr>
          <w:rFonts w:hint="cs"/>
          <w:sz w:val="24"/>
          <w:rtl/>
        </w:rPr>
        <w:t xml:space="preserve">הביקורת השיפוטית הביזורית </w:t>
      </w:r>
      <w:r w:rsidR="00D43EE5" w:rsidRPr="00106D3A">
        <w:rPr>
          <w:rFonts w:hint="cs"/>
          <w:sz w:val="24"/>
          <w:rtl/>
        </w:rPr>
        <w:t>הפכה בפועל ל</w:t>
      </w:r>
      <w:r w:rsidR="00B42890" w:rsidRPr="00106D3A">
        <w:rPr>
          <w:rFonts w:hint="cs"/>
          <w:sz w:val="24"/>
          <w:rtl/>
        </w:rPr>
        <w:t xml:space="preserve">תופעה </w:t>
      </w:r>
      <w:proofErr w:type="spellStart"/>
      <w:r w:rsidR="00B42890" w:rsidRPr="00106D3A">
        <w:rPr>
          <w:rFonts w:hint="cs"/>
          <w:sz w:val="24"/>
          <w:rtl/>
        </w:rPr>
        <w:t>אנקדוט</w:t>
      </w:r>
      <w:r w:rsidR="00D43EE5" w:rsidRPr="00106D3A">
        <w:rPr>
          <w:rFonts w:hint="cs"/>
          <w:sz w:val="24"/>
          <w:rtl/>
        </w:rPr>
        <w:t>לית</w:t>
      </w:r>
      <w:proofErr w:type="spellEnd"/>
      <w:r w:rsidR="00D43EE5" w:rsidRPr="00106D3A">
        <w:rPr>
          <w:rFonts w:hint="cs"/>
          <w:sz w:val="24"/>
          <w:rtl/>
        </w:rPr>
        <w:t xml:space="preserve"> בשיטה הישראלית, בעוד הביקורת השיפוטית הריכוזית מתבססת כנתון חוקתי יציב. </w:t>
      </w:r>
      <w:r w:rsidR="002735B5" w:rsidRPr="00106D3A">
        <w:rPr>
          <w:rFonts w:hint="cs"/>
          <w:sz w:val="24"/>
          <w:rtl/>
        </w:rPr>
        <w:t xml:space="preserve">גם התבוננות אל השיח מחוץ למעגלי הפרקטיקה מגלה הטיה דומה. </w:t>
      </w:r>
    </w:p>
    <w:p w:rsidR="00B0009B" w:rsidRPr="00106D3A" w:rsidRDefault="00B0009B" w:rsidP="002735B5">
      <w:pPr>
        <w:ind w:firstLine="720"/>
        <w:jc w:val="both"/>
        <w:rPr>
          <w:sz w:val="24"/>
          <w:rtl/>
        </w:rPr>
      </w:pPr>
    </w:p>
    <w:p w:rsidR="00D23A0D" w:rsidRPr="00106D3A" w:rsidRDefault="00D23A0D" w:rsidP="00D374A3">
      <w:pPr>
        <w:pStyle w:val="Heading2"/>
        <w:rPr>
          <w:rtl/>
        </w:rPr>
      </w:pPr>
      <w:bookmarkStart w:id="26" w:name="_Toc372223056"/>
      <w:r w:rsidRPr="00106D3A">
        <w:rPr>
          <w:rFonts w:hint="cs"/>
          <w:rtl/>
        </w:rPr>
        <w:t>מצב השיח</w:t>
      </w:r>
      <w:r w:rsidR="00360090" w:rsidRPr="00106D3A">
        <w:rPr>
          <w:rFonts w:hint="cs"/>
          <w:rtl/>
        </w:rPr>
        <w:t>: קונצנזוס מסקרן</w:t>
      </w:r>
      <w:bookmarkEnd w:id="26"/>
    </w:p>
    <w:p w:rsidR="00D23A0D" w:rsidRPr="00106D3A" w:rsidRDefault="00B607D4" w:rsidP="00D80184">
      <w:pPr>
        <w:ind w:firstLine="720"/>
        <w:jc w:val="both"/>
        <w:rPr>
          <w:sz w:val="24"/>
          <w:rtl/>
        </w:rPr>
      </w:pPr>
      <w:r w:rsidRPr="00106D3A">
        <w:rPr>
          <w:rFonts w:hint="cs"/>
          <w:sz w:val="24"/>
          <w:rtl/>
        </w:rPr>
        <w:t xml:space="preserve">מחוץ לבתי המשפט ההטיה בשיח החוקתי לכיוון </w:t>
      </w:r>
      <w:r w:rsidR="00CF4658" w:rsidRPr="00106D3A">
        <w:rPr>
          <w:rFonts w:hint="cs"/>
          <w:sz w:val="24"/>
          <w:rtl/>
        </w:rPr>
        <w:t xml:space="preserve">השיטה הריכוזית </w:t>
      </w:r>
      <w:r w:rsidR="00846A61" w:rsidRPr="00106D3A">
        <w:rPr>
          <w:rFonts w:hint="cs"/>
          <w:sz w:val="24"/>
          <w:rtl/>
        </w:rPr>
        <w:t>היא מובהקת</w:t>
      </w:r>
      <w:r w:rsidR="00EB7EE2" w:rsidRPr="00106D3A">
        <w:rPr>
          <w:rFonts w:hint="cs"/>
          <w:sz w:val="24"/>
          <w:rtl/>
        </w:rPr>
        <w:t>, אף יותר מאשר בשיח המשפטי הפנימי</w:t>
      </w:r>
      <w:r w:rsidR="00CF4658" w:rsidRPr="00106D3A">
        <w:rPr>
          <w:rFonts w:hint="cs"/>
          <w:sz w:val="24"/>
          <w:rtl/>
        </w:rPr>
        <w:t xml:space="preserve">. </w:t>
      </w:r>
      <w:r w:rsidR="00EB7EE2" w:rsidRPr="00106D3A">
        <w:rPr>
          <w:rFonts w:hint="cs"/>
          <w:sz w:val="24"/>
          <w:rtl/>
        </w:rPr>
        <w:t xml:space="preserve">זהו נתון מעורר עניין, משום שמתברר שההעדפה לביקורת שיפוטית ריכוזית משותפת הן למבקריה של "המהפכה החוקתית" והן לתומכיה. </w:t>
      </w:r>
      <w:r w:rsidR="00BA4E29" w:rsidRPr="00106D3A">
        <w:rPr>
          <w:rFonts w:hint="cs"/>
          <w:sz w:val="24"/>
          <w:rtl/>
        </w:rPr>
        <w:t xml:space="preserve">כך, </w:t>
      </w:r>
      <w:r w:rsidR="00B22B89" w:rsidRPr="00106D3A">
        <w:rPr>
          <w:rFonts w:hint="cs"/>
          <w:sz w:val="24"/>
          <w:rtl/>
        </w:rPr>
        <w:t xml:space="preserve">למרות ש"המהפכה החוקתית" עוררה ביקורת תקיפה מחוגים שונים באקדמיה ובפוליטיקה, מעטים בחוגי המבקרים הציעו להחזיר את הגלגל אחורה באופן מלא, כך שלא תתקיים </w:t>
      </w:r>
      <w:r w:rsidR="00D80184" w:rsidRPr="00106D3A">
        <w:rPr>
          <w:rFonts w:hint="cs"/>
          <w:sz w:val="24"/>
          <w:rtl/>
        </w:rPr>
        <w:t xml:space="preserve">מסגרת שיפוטית </w:t>
      </w:r>
      <w:r w:rsidR="00B22B89" w:rsidRPr="00106D3A">
        <w:rPr>
          <w:rFonts w:hint="cs"/>
          <w:sz w:val="24"/>
          <w:rtl/>
        </w:rPr>
        <w:t xml:space="preserve">כלשהי לאכיפת עליונותם של חוקי-היסוד על חקיקת הכנסת. ההצעות הקיימות כיום עוסקות אפוא בעיקר בתנאים המוסדיים בהם תבוצע הביקורת השיפוטית, לפי גישותיהם של הדוברים השונים. </w:t>
      </w:r>
      <w:r w:rsidR="00EB7EE2" w:rsidRPr="00106D3A">
        <w:rPr>
          <w:rFonts w:hint="cs"/>
          <w:sz w:val="24"/>
          <w:rtl/>
        </w:rPr>
        <w:t xml:space="preserve">בשדה עתיר מחלוקות זה, </w:t>
      </w:r>
      <w:r w:rsidR="0063797C" w:rsidRPr="00106D3A">
        <w:rPr>
          <w:rFonts w:hint="cs"/>
          <w:sz w:val="24"/>
          <w:rtl/>
        </w:rPr>
        <w:t xml:space="preserve">מסתמן קונצנזוס מסקרן בין בעלי גישות שונות ביחס לעיצוב המוסדי הראוי לשפיטה החוקתית בישראל. </w:t>
      </w:r>
    </w:p>
    <w:p w:rsidR="008F70EA" w:rsidRPr="00106D3A" w:rsidRDefault="00D5049D" w:rsidP="006F61BD">
      <w:pPr>
        <w:ind w:firstLine="720"/>
        <w:jc w:val="both"/>
        <w:rPr>
          <w:sz w:val="24"/>
          <w:rtl/>
        </w:rPr>
      </w:pPr>
      <w:r w:rsidRPr="00106D3A">
        <w:rPr>
          <w:rFonts w:hint="cs"/>
          <w:sz w:val="24"/>
          <w:rtl/>
        </w:rPr>
        <w:t xml:space="preserve">שתי </w:t>
      </w:r>
      <w:r w:rsidR="00B22B89" w:rsidRPr="00106D3A">
        <w:rPr>
          <w:rFonts w:hint="cs"/>
          <w:sz w:val="24"/>
          <w:rtl/>
        </w:rPr>
        <w:t>חלופות מוסדיות עיקריות מופיעות בשיח הציבורי בעניין זה</w:t>
      </w:r>
      <w:r w:rsidR="00D1431D" w:rsidRPr="00106D3A">
        <w:rPr>
          <w:rFonts w:hint="cs"/>
          <w:sz w:val="24"/>
          <w:rtl/>
        </w:rPr>
        <w:t xml:space="preserve">, </w:t>
      </w:r>
      <w:r w:rsidR="00B22B89" w:rsidRPr="00106D3A">
        <w:rPr>
          <w:rFonts w:hint="cs"/>
          <w:sz w:val="24"/>
          <w:rtl/>
        </w:rPr>
        <w:t xml:space="preserve">שתיהן בקצה הריכוזי של </w:t>
      </w:r>
      <w:r w:rsidR="00D1431D" w:rsidRPr="00106D3A">
        <w:rPr>
          <w:rFonts w:hint="cs"/>
          <w:sz w:val="24"/>
          <w:rtl/>
        </w:rPr>
        <w:t>הטווח</w:t>
      </w:r>
      <w:r w:rsidR="003F680A" w:rsidRPr="00106D3A">
        <w:rPr>
          <w:rFonts w:hint="cs"/>
          <w:sz w:val="24"/>
          <w:rtl/>
        </w:rPr>
        <w:t xml:space="preserve">. האחת היא הקמת בית משפט לחוקה, </w:t>
      </w:r>
      <w:proofErr w:type="spellStart"/>
      <w:r w:rsidR="00D32A7F" w:rsidRPr="00106D3A">
        <w:rPr>
          <w:rFonts w:hint="cs"/>
          <w:sz w:val="24"/>
          <w:rtl/>
        </w:rPr>
        <w:t>והשניה</w:t>
      </w:r>
      <w:proofErr w:type="spellEnd"/>
      <w:r w:rsidR="00D32A7F" w:rsidRPr="00106D3A">
        <w:rPr>
          <w:rFonts w:hint="cs"/>
          <w:sz w:val="24"/>
          <w:rtl/>
        </w:rPr>
        <w:t xml:space="preserve"> היא ריכוז הסמכות לביקורת שיפוטית חוקתית בידי בית המשפט העליון לבדו. </w:t>
      </w:r>
      <w:r w:rsidR="00641B04" w:rsidRPr="00106D3A">
        <w:rPr>
          <w:rFonts w:hint="cs"/>
          <w:sz w:val="24"/>
          <w:rtl/>
        </w:rPr>
        <w:t>מודל בית המשפט לחוקה מתייחס ל</w:t>
      </w:r>
      <w:r w:rsidR="003F680A" w:rsidRPr="00106D3A">
        <w:rPr>
          <w:rFonts w:hint="cs"/>
          <w:sz w:val="24"/>
          <w:rtl/>
        </w:rPr>
        <w:t>מוסד</w:t>
      </w:r>
      <w:r w:rsidR="002144AB" w:rsidRPr="00106D3A">
        <w:rPr>
          <w:rFonts w:hint="cs"/>
          <w:sz w:val="24"/>
          <w:rtl/>
        </w:rPr>
        <w:t xml:space="preserve"> </w:t>
      </w:r>
      <w:r w:rsidR="003E6E45" w:rsidRPr="00106D3A">
        <w:rPr>
          <w:rFonts w:hint="cs"/>
          <w:sz w:val="24"/>
          <w:rtl/>
        </w:rPr>
        <w:t xml:space="preserve">שהוא </w:t>
      </w:r>
      <w:r w:rsidR="002144AB" w:rsidRPr="00106D3A">
        <w:rPr>
          <w:rFonts w:hint="cs"/>
          <w:sz w:val="24"/>
          <w:rtl/>
        </w:rPr>
        <w:t>חיצוני למערכת השיפוטית הרגילה</w:t>
      </w:r>
      <w:r w:rsidR="002A6AEA" w:rsidRPr="00106D3A">
        <w:rPr>
          <w:rFonts w:hint="cs"/>
          <w:sz w:val="24"/>
          <w:rtl/>
        </w:rPr>
        <w:t>,</w:t>
      </w:r>
      <w:r w:rsidR="002144AB" w:rsidRPr="00106D3A">
        <w:rPr>
          <w:rFonts w:hint="cs"/>
          <w:sz w:val="24"/>
          <w:rtl/>
        </w:rPr>
        <w:t xml:space="preserve"> </w:t>
      </w:r>
      <w:r w:rsidR="003E6E45" w:rsidRPr="00106D3A">
        <w:rPr>
          <w:rFonts w:hint="cs"/>
          <w:sz w:val="24"/>
          <w:rtl/>
        </w:rPr>
        <w:t>המ</w:t>
      </w:r>
      <w:r w:rsidR="003F680A" w:rsidRPr="00106D3A">
        <w:rPr>
          <w:rFonts w:hint="cs"/>
          <w:sz w:val="24"/>
          <w:rtl/>
        </w:rPr>
        <w:t>אופיין בתנאי כשירות ובהליכי מינוי ייחודיים</w:t>
      </w:r>
      <w:r w:rsidR="002144AB" w:rsidRPr="00106D3A">
        <w:rPr>
          <w:rFonts w:hint="cs"/>
          <w:sz w:val="24"/>
          <w:rtl/>
        </w:rPr>
        <w:t>, ו</w:t>
      </w:r>
      <w:r w:rsidR="003E6E45" w:rsidRPr="00106D3A">
        <w:rPr>
          <w:rFonts w:hint="cs"/>
          <w:sz w:val="24"/>
          <w:rtl/>
        </w:rPr>
        <w:t xml:space="preserve">אשר </w:t>
      </w:r>
      <w:r w:rsidR="002144AB" w:rsidRPr="00106D3A">
        <w:rPr>
          <w:rFonts w:hint="cs"/>
          <w:sz w:val="24"/>
          <w:rtl/>
        </w:rPr>
        <w:t xml:space="preserve">יהיה בעל הסמכות הייחודית להכריע </w:t>
      </w:r>
      <w:r w:rsidR="00025C04" w:rsidRPr="00106D3A">
        <w:rPr>
          <w:rFonts w:hint="cs"/>
          <w:sz w:val="24"/>
          <w:rtl/>
        </w:rPr>
        <w:t>בשאלות</w:t>
      </w:r>
      <w:r w:rsidR="002144AB" w:rsidRPr="00106D3A">
        <w:rPr>
          <w:rFonts w:hint="cs"/>
          <w:sz w:val="24"/>
          <w:rtl/>
        </w:rPr>
        <w:t xml:space="preserve"> של תוקף חוקתי של חקיקה ראשית</w:t>
      </w:r>
      <w:r w:rsidR="003F680A" w:rsidRPr="00106D3A">
        <w:rPr>
          <w:rFonts w:hint="cs"/>
          <w:sz w:val="24"/>
          <w:rtl/>
        </w:rPr>
        <w:t xml:space="preserve">. </w:t>
      </w:r>
      <w:r w:rsidR="009A13F5" w:rsidRPr="00106D3A">
        <w:rPr>
          <w:rFonts w:hint="cs"/>
          <w:sz w:val="24"/>
          <w:rtl/>
        </w:rPr>
        <w:t xml:space="preserve">הצעות אלה </w:t>
      </w:r>
      <w:r w:rsidR="00DC42AD" w:rsidRPr="00106D3A">
        <w:rPr>
          <w:sz w:val="24"/>
          <w:rtl/>
        </w:rPr>
        <w:t>–</w:t>
      </w:r>
      <w:r w:rsidR="00DC42AD" w:rsidRPr="00106D3A">
        <w:rPr>
          <w:rFonts w:hint="cs"/>
          <w:sz w:val="24"/>
          <w:rtl/>
        </w:rPr>
        <w:t xml:space="preserve"> </w:t>
      </w:r>
      <w:r w:rsidR="00B61313" w:rsidRPr="00106D3A">
        <w:rPr>
          <w:rFonts w:hint="cs"/>
          <w:sz w:val="24"/>
          <w:rtl/>
        </w:rPr>
        <w:t>המבקשות לחקות</w:t>
      </w:r>
      <w:r w:rsidR="00DC42AD" w:rsidRPr="00106D3A">
        <w:rPr>
          <w:rFonts w:hint="cs"/>
          <w:sz w:val="24"/>
          <w:rtl/>
        </w:rPr>
        <w:t xml:space="preserve"> </w:t>
      </w:r>
      <w:r w:rsidR="00B61313" w:rsidRPr="00106D3A">
        <w:rPr>
          <w:rFonts w:hint="cs"/>
          <w:sz w:val="24"/>
          <w:rtl/>
        </w:rPr>
        <w:t xml:space="preserve">(במידה כזו או אחרת של נאמנות) את </w:t>
      </w:r>
      <w:r w:rsidR="00DC42AD" w:rsidRPr="00106D3A">
        <w:rPr>
          <w:rFonts w:hint="cs"/>
          <w:sz w:val="24"/>
          <w:rtl/>
        </w:rPr>
        <w:t xml:space="preserve">ניסיונן של דמוקרטיות חוקתיות </w:t>
      </w:r>
      <w:r w:rsidR="00BE5E5D" w:rsidRPr="00106D3A">
        <w:rPr>
          <w:rFonts w:hint="cs"/>
          <w:sz w:val="24"/>
          <w:rtl/>
        </w:rPr>
        <w:t>אירופיות כ</w:t>
      </w:r>
      <w:r w:rsidR="00C569AD" w:rsidRPr="00106D3A">
        <w:rPr>
          <w:rFonts w:hint="cs"/>
          <w:sz w:val="24"/>
          <w:rtl/>
        </w:rPr>
        <w:t xml:space="preserve">מו </w:t>
      </w:r>
      <w:r w:rsidR="00BE5E5D" w:rsidRPr="00106D3A">
        <w:rPr>
          <w:rFonts w:hint="cs"/>
          <w:sz w:val="24"/>
          <w:rtl/>
        </w:rPr>
        <w:t>גרמניה</w:t>
      </w:r>
      <w:r w:rsidR="006D20D2" w:rsidRPr="00106D3A">
        <w:rPr>
          <w:rFonts w:hint="cs"/>
          <w:sz w:val="24"/>
          <w:rtl/>
        </w:rPr>
        <w:t xml:space="preserve">, </w:t>
      </w:r>
      <w:r w:rsidR="00C569AD" w:rsidRPr="00106D3A">
        <w:rPr>
          <w:rFonts w:hint="cs"/>
          <w:sz w:val="24"/>
          <w:rtl/>
        </w:rPr>
        <w:t>צרפת</w:t>
      </w:r>
      <w:r w:rsidR="00A54A06" w:rsidRPr="00106D3A">
        <w:rPr>
          <w:rFonts w:hint="cs"/>
          <w:sz w:val="24"/>
          <w:rtl/>
        </w:rPr>
        <w:t xml:space="preserve">, </w:t>
      </w:r>
      <w:r w:rsidR="006D20D2" w:rsidRPr="00106D3A">
        <w:rPr>
          <w:rFonts w:hint="cs"/>
          <w:sz w:val="24"/>
          <w:rtl/>
        </w:rPr>
        <w:t>איטליה</w:t>
      </w:r>
      <w:r w:rsidR="00A54A06" w:rsidRPr="00106D3A">
        <w:rPr>
          <w:rFonts w:hint="cs"/>
          <w:sz w:val="24"/>
          <w:rtl/>
        </w:rPr>
        <w:t xml:space="preserve">, </w:t>
      </w:r>
      <w:r w:rsidR="002557DC" w:rsidRPr="00106D3A">
        <w:rPr>
          <w:rFonts w:hint="cs"/>
          <w:sz w:val="24"/>
          <w:rtl/>
        </w:rPr>
        <w:t xml:space="preserve">ספרד, </w:t>
      </w:r>
      <w:r w:rsidR="00A54A06" w:rsidRPr="00106D3A">
        <w:rPr>
          <w:rFonts w:hint="cs"/>
          <w:sz w:val="24"/>
          <w:rtl/>
        </w:rPr>
        <w:t>או ארצות מזרח אירופה</w:t>
      </w:r>
      <w:r w:rsidR="00C569AD" w:rsidRPr="00106D3A">
        <w:rPr>
          <w:rFonts w:hint="cs"/>
          <w:sz w:val="24"/>
          <w:rtl/>
        </w:rPr>
        <w:t xml:space="preserve"> </w:t>
      </w:r>
      <w:r w:rsidR="00DC42AD" w:rsidRPr="00106D3A">
        <w:rPr>
          <w:sz w:val="24"/>
          <w:rtl/>
        </w:rPr>
        <w:t>–</w:t>
      </w:r>
      <w:r w:rsidR="00DC42AD" w:rsidRPr="00106D3A">
        <w:rPr>
          <w:rFonts w:hint="cs"/>
          <w:sz w:val="24"/>
          <w:rtl/>
        </w:rPr>
        <w:t xml:space="preserve"> </w:t>
      </w:r>
      <w:r w:rsidR="009A13F5" w:rsidRPr="00106D3A">
        <w:rPr>
          <w:rFonts w:hint="cs"/>
          <w:sz w:val="24"/>
          <w:rtl/>
        </w:rPr>
        <w:t>נסמכות על תפיסה של הנורמה החוקתית כנורמה מסוג מיוחד, ששייכת לתחום המוסר הפוליטי יותר מאשר לתחום המשפטי המק</w:t>
      </w:r>
      <w:r w:rsidR="00C8298E" w:rsidRPr="00106D3A">
        <w:rPr>
          <w:rFonts w:hint="cs"/>
          <w:sz w:val="24"/>
          <w:rtl/>
        </w:rPr>
        <w:t>צועי. הן מציגות תיאורי</w:t>
      </w:r>
      <w:r w:rsidR="008F70EA" w:rsidRPr="00106D3A">
        <w:rPr>
          <w:rFonts w:hint="cs"/>
          <w:sz w:val="24"/>
          <w:rtl/>
        </w:rPr>
        <w:t xml:space="preserve">ית לגיטימציה למעשה </w:t>
      </w:r>
      <w:r w:rsidR="00C8298E" w:rsidRPr="00106D3A">
        <w:rPr>
          <w:rFonts w:hint="cs"/>
          <w:sz w:val="24"/>
          <w:rtl/>
        </w:rPr>
        <w:t>הביקורת השיפוטית ש</w:t>
      </w:r>
      <w:r w:rsidR="008F70EA" w:rsidRPr="00106D3A">
        <w:rPr>
          <w:rFonts w:hint="cs"/>
          <w:sz w:val="24"/>
          <w:rtl/>
        </w:rPr>
        <w:t xml:space="preserve">מבוססת על היסודות הפוליטיים של מינוי </w:t>
      </w:r>
      <w:r w:rsidR="00F42652" w:rsidRPr="00106D3A">
        <w:rPr>
          <w:rFonts w:hint="cs"/>
          <w:sz w:val="24"/>
          <w:rtl/>
        </w:rPr>
        <w:t xml:space="preserve">השופטים </w:t>
      </w:r>
      <w:r w:rsidR="008F70EA" w:rsidRPr="00106D3A">
        <w:rPr>
          <w:rFonts w:hint="cs"/>
          <w:sz w:val="24"/>
          <w:rtl/>
        </w:rPr>
        <w:t xml:space="preserve">ועל </w:t>
      </w:r>
      <w:r w:rsidR="00360393" w:rsidRPr="00106D3A">
        <w:rPr>
          <w:rFonts w:hint="cs"/>
          <w:sz w:val="24"/>
          <w:rtl/>
        </w:rPr>
        <w:t xml:space="preserve">הייצוגיות האידיאולוגיות שזו אמורה להבטיח בערכאה החוקתית. </w:t>
      </w:r>
      <w:r w:rsidR="00FA6AFC" w:rsidRPr="00106D3A">
        <w:rPr>
          <w:rFonts w:hint="cs"/>
          <w:sz w:val="24"/>
          <w:rtl/>
        </w:rPr>
        <w:t xml:space="preserve">הקמתו של בית משפט לחוקה אמורה להנהיר את ההיבטים הערכיים </w:t>
      </w:r>
      <w:r w:rsidR="00FA6AFC" w:rsidRPr="00106D3A">
        <w:rPr>
          <w:rFonts w:hint="cs"/>
          <w:sz w:val="24"/>
          <w:rtl/>
        </w:rPr>
        <w:lastRenderedPageBreak/>
        <w:t xml:space="preserve">והפוליטיים של ההכרעה החוקתית באמצעות ריכוזה </w:t>
      </w:r>
      <w:r w:rsidR="00FA6F7F" w:rsidRPr="00106D3A">
        <w:rPr>
          <w:rFonts w:hint="cs"/>
          <w:sz w:val="24"/>
          <w:rtl/>
        </w:rPr>
        <w:t xml:space="preserve">במוסד נפרד ובולט, </w:t>
      </w:r>
      <w:r w:rsidR="00504837" w:rsidRPr="00106D3A">
        <w:rPr>
          <w:rFonts w:hint="cs"/>
          <w:sz w:val="24"/>
          <w:rtl/>
        </w:rPr>
        <w:t>תוך "חיסון"</w:t>
      </w:r>
      <w:r w:rsidR="00FA6F7F" w:rsidRPr="00106D3A">
        <w:rPr>
          <w:rFonts w:hint="cs"/>
          <w:sz w:val="24"/>
          <w:rtl/>
        </w:rPr>
        <w:t xml:space="preserve"> ערכ</w:t>
      </w:r>
      <w:r w:rsidR="0059593C" w:rsidRPr="00106D3A">
        <w:rPr>
          <w:rFonts w:hint="cs"/>
          <w:sz w:val="24"/>
          <w:rtl/>
        </w:rPr>
        <w:t>א</w:t>
      </w:r>
      <w:r w:rsidR="00FA6F7F" w:rsidRPr="00106D3A">
        <w:rPr>
          <w:rFonts w:hint="cs"/>
          <w:sz w:val="24"/>
          <w:rtl/>
        </w:rPr>
        <w:t xml:space="preserve">ות השיפוט המקצועיות מן הצורך </w:t>
      </w:r>
      <w:r w:rsidR="0059593C" w:rsidRPr="00106D3A">
        <w:rPr>
          <w:rFonts w:hint="cs"/>
          <w:sz w:val="24"/>
          <w:rtl/>
        </w:rPr>
        <w:t xml:space="preserve">לעסוק בשאלות </w:t>
      </w:r>
      <w:r w:rsidR="00F6095D" w:rsidRPr="00106D3A">
        <w:rPr>
          <w:rFonts w:hint="cs"/>
          <w:sz w:val="24"/>
          <w:rtl/>
        </w:rPr>
        <w:t>שנתפסות כפוליטיות, ערכיות ומ</w:t>
      </w:r>
      <w:r w:rsidR="003C1C58" w:rsidRPr="00106D3A">
        <w:rPr>
          <w:rFonts w:hint="cs"/>
          <w:sz w:val="24"/>
          <w:rtl/>
        </w:rPr>
        <w:t>ְ</w:t>
      </w:r>
      <w:r w:rsidR="00F6095D" w:rsidRPr="00106D3A">
        <w:rPr>
          <w:rFonts w:hint="cs"/>
          <w:sz w:val="24"/>
          <w:rtl/>
        </w:rPr>
        <w:t>פ</w:t>
      </w:r>
      <w:r w:rsidR="003C1C58" w:rsidRPr="00106D3A">
        <w:rPr>
          <w:rFonts w:hint="cs"/>
          <w:sz w:val="24"/>
          <w:rtl/>
        </w:rPr>
        <w:t>ַ</w:t>
      </w:r>
      <w:r w:rsidR="00F6095D" w:rsidRPr="00106D3A">
        <w:rPr>
          <w:rFonts w:hint="cs"/>
          <w:sz w:val="24"/>
          <w:rtl/>
        </w:rPr>
        <w:t>לגות.</w:t>
      </w:r>
      <w:bookmarkStart w:id="27" w:name="_Ref373312018"/>
      <w:r w:rsidR="00E17663" w:rsidRPr="00106D3A">
        <w:rPr>
          <w:rStyle w:val="FootnoteReference"/>
          <w:sz w:val="24"/>
          <w:rtl/>
        </w:rPr>
        <w:footnoteReference w:id="51"/>
      </w:r>
      <w:bookmarkEnd w:id="27"/>
      <w:r w:rsidR="007B5663" w:rsidRPr="00106D3A">
        <w:rPr>
          <w:rFonts w:hint="cs"/>
          <w:sz w:val="24"/>
          <w:rtl/>
        </w:rPr>
        <w:t xml:space="preserve"> </w:t>
      </w:r>
      <w:r w:rsidR="00BE2014" w:rsidRPr="00106D3A">
        <w:rPr>
          <w:rFonts w:hint="cs"/>
          <w:sz w:val="24"/>
          <w:rtl/>
        </w:rPr>
        <w:t xml:space="preserve"> </w:t>
      </w:r>
    </w:p>
    <w:p w:rsidR="0066699D" w:rsidRPr="00106D3A" w:rsidRDefault="00D32A7F" w:rsidP="003C1C58">
      <w:pPr>
        <w:ind w:firstLine="720"/>
        <w:jc w:val="both"/>
        <w:rPr>
          <w:sz w:val="24"/>
          <w:rtl/>
        </w:rPr>
      </w:pPr>
      <w:r w:rsidRPr="00106D3A">
        <w:rPr>
          <w:rFonts w:hint="cs"/>
          <w:sz w:val="24"/>
          <w:rtl/>
        </w:rPr>
        <w:t>המתנגד התקיף ביותר ב</w:t>
      </w:r>
      <w:r w:rsidR="00DC6F6F" w:rsidRPr="00106D3A">
        <w:rPr>
          <w:rFonts w:hint="cs"/>
          <w:sz w:val="24"/>
          <w:rtl/>
        </w:rPr>
        <w:t xml:space="preserve">שיח הישראלי </w:t>
      </w:r>
      <w:r w:rsidRPr="00106D3A">
        <w:rPr>
          <w:rFonts w:hint="cs"/>
          <w:sz w:val="24"/>
          <w:rtl/>
        </w:rPr>
        <w:t>לרעיון ההקמה של בית משפט לחוקה היה</w:t>
      </w:r>
      <w:r w:rsidR="00064B2D" w:rsidRPr="00106D3A">
        <w:rPr>
          <w:rFonts w:hint="cs"/>
          <w:sz w:val="24"/>
          <w:rtl/>
        </w:rPr>
        <w:t xml:space="preserve"> כזכור</w:t>
      </w:r>
      <w:r w:rsidRPr="00106D3A">
        <w:rPr>
          <w:rFonts w:hint="cs"/>
          <w:sz w:val="24"/>
          <w:rtl/>
        </w:rPr>
        <w:t xml:space="preserve"> אהרן ברק, נשיא בית המשפט העליון לשעבר. </w:t>
      </w:r>
      <w:r w:rsidR="00CA0897" w:rsidRPr="00106D3A">
        <w:rPr>
          <w:rFonts w:hint="cs"/>
          <w:sz w:val="24"/>
          <w:rtl/>
        </w:rPr>
        <w:t xml:space="preserve">ברק ראה בהצעה </w:t>
      </w:r>
      <w:r w:rsidR="0063243F" w:rsidRPr="00106D3A">
        <w:rPr>
          <w:rFonts w:hint="cs"/>
          <w:sz w:val="24"/>
          <w:rtl/>
        </w:rPr>
        <w:t>לייחד את התחום החוקתי ל</w:t>
      </w:r>
      <w:r w:rsidR="00CA0897" w:rsidRPr="00106D3A">
        <w:rPr>
          <w:rFonts w:hint="cs"/>
          <w:sz w:val="24"/>
          <w:rtl/>
        </w:rPr>
        <w:t>ע</w:t>
      </w:r>
      <w:r w:rsidR="0063243F" w:rsidRPr="00106D3A">
        <w:rPr>
          <w:rFonts w:hint="cs"/>
          <w:sz w:val="24"/>
          <w:rtl/>
        </w:rPr>
        <w:t xml:space="preserve">רכאה שאינה </w:t>
      </w:r>
      <w:r w:rsidR="00187697" w:rsidRPr="00106D3A">
        <w:rPr>
          <w:rFonts w:hint="cs"/>
          <w:sz w:val="24"/>
          <w:rtl/>
        </w:rPr>
        <w:t>"בית משפט" במובן המקובל של המושג</w:t>
      </w:r>
      <w:r w:rsidR="0063243F" w:rsidRPr="00106D3A">
        <w:rPr>
          <w:rFonts w:hint="cs"/>
          <w:sz w:val="24"/>
          <w:rtl/>
        </w:rPr>
        <w:t xml:space="preserve"> בבחינת </w:t>
      </w:r>
      <w:r w:rsidR="00CA0897" w:rsidRPr="00106D3A">
        <w:rPr>
          <w:rFonts w:hint="cs"/>
          <w:sz w:val="24"/>
          <w:rtl/>
        </w:rPr>
        <w:t xml:space="preserve">סתירה </w:t>
      </w:r>
      <w:r w:rsidR="0066699D" w:rsidRPr="00106D3A">
        <w:rPr>
          <w:rFonts w:hint="cs"/>
          <w:sz w:val="24"/>
          <w:rtl/>
        </w:rPr>
        <w:t xml:space="preserve">הן </w:t>
      </w:r>
      <w:r w:rsidR="0063243F" w:rsidRPr="00106D3A">
        <w:rPr>
          <w:rFonts w:hint="cs"/>
          <w:sz w:val="24"/>
          <w:rtl/>
        </w:rPr>
        <w:t>למהותה של חוקה כמערכת של נורמות משפטיות</w:t>
      </w:r>
      <w:r w:rsidR="0066699D" w:rsidRPr="00106D3A">
        <w:rPr>
          <w:rFonts w:hint="cs"/>
          <w:sz w:val="24"/>
          <w:rtl/>
        </w:rPr>
        <w:t xml:space="preserve">, והן לתפקידה של חוקה כאמצעי להגנת יחידים ומיעוטים מפני </w:t>
      </w:r>
      <w:r w:rsidR="00B400C0" w:rsidRPr="00106D3A">
        <w:rPr>
          <w:rFonts w:hint="cs"/>
          <w:sz w:val="24"/>
          <w:rtl/>
        </w:rPr>
        <w:t>ניצול לרעה של הפוליטיקה הרובנית</w:t>
      </w:r>
      <w:r w:rsidR="006B566E" w:rsidRPr="00106D3A">
        <w:rPr>
          <w:rFonts w:hint="cs"/>
          <w:sz w:val="24"/>
          <w:rtl/>
        </w:rPr>
        <w:t>.</w:t>
      </w:r>
      <w:r w:rsidR="00EE02C6" w:rsidRPr="00106D3A">
        <w:rPr>
          <w:rStyle w:val="FootnoteReference"/>
          <w:sz w:val="24"/>
          <w:rtl/>
        </w:rPr>
        <w:footnoteReference w:id="52"/>
      </w:r>
      <w:r w:rsidR="006B566E" w:rsidRPr="00106D3A">
        <w:rPr>
          <w:rFonts w:hint="cs"/>
          <w:sz w:val="24"/>
          <w:rtl/>
        </w:rPr>
        <w:t xml:space="preserve"> הוא התריע מפני מהלך שמשמעותו ת</w:t>
      </w:r>
      <w:r w:rsidR="0066699D" w:rsidRPr="00106D3A">
        <w:rPr>
          <w:rFonts w:hint="cs"/>
          <w:sz w:val="24"/>
          <w:rtl/>
        </w:rPr>
        <w:t>היה פוליטיזציה של השפיטה החוקתית</w:t>
      </w:r>
      <w:r w:rsidR="00346630" w:rsidRPr="00106D3A">
        <w:rPr>
          <w:rFonts w:hint="cs"/>
          <w:sz w:val="24"/>
          <w:rtl/>
        </w:rPr>
        <w:t xml:space="preserve"> וסיכול משימתה המוסרית </w:t>
      </w:r>
      <w:r w:rsidR="00943A40" w:rsidRPr="00106D3A">
        <w:rPr>
          <w:rFonts w:hint="cs"/>
          <w:sz w:val="24"/>
          <w:rtl/>
        </w:rPr>
        <w:t>להגן על</w:t>
      </w:r>
      <w:r w:rsidR="00346630" w:rsidRPr="00106D3A">
        <w:rPr>
          <w:rFonts w:hint="cs"/>
          <w:sz w:val="24"/>
          <w:rtl/>
        </w:rPr>
        <w:t xml:space="preserve"> "הדמוקרטיה המהותית" </w:t>
      </w:r>
      <w:r w:rsidR="00D96FFA" w:rsidRPr="00106D3A">
        <w:rPr>
          <w:rFonts w:hint="cs"/>
          <w:sz w:val="24"/>
          <w:rtl/>
        </w:rPr>
        <w:t xml:space="preserve">(זכויות אדם, </w:t>
      </w:r>
      <w:r w:rsidR="00943A40" w:rsidRPr="00106D3A">
        <w:rPr>
          <w:rFonts w:hint="cs"/>
          <w:sz w:val="24"/>
          <w:rtl/>
        </w:rPr>
        <w:t xml:space="preserve">הגנת מיעוטים, </w:t>
      </w:r>
      <w:r w:rsidR="00D96FFA" w:rsidRPr="00106D3A">
        <w:rPr>
          <w:rFonts w:hint="cs"/>
          <w:sz w:val="24"/>
          <w:rtl/>
        </w:rPr>
        <w:t xml:space="preserve">הפרדת רשויות) </w:t>
      </w:r>
      <w:r w:rsidR="00346630" w:rsidRPr="00106D3A">
        <w:rPr>
          <w:rFonts w:hint="cs"/>
          <w:sz w:val="24"/>
          <w:rtl/>
        </w:rPr>
        <w:t>מפני פגעיה של "הדמוקרטיה הפורמלית"</w:t>
      </w:r>
      <w:r w:rsidR="00D96FFA" w:rsidRPr="00106D3A">
        <w:rPr>
          <w:rFonts w:hint="cs"/>
          <w:sz w:val="24"/>
          <w:rtl/>
        </w:rPr>
        <w:t xml:space="preserve"> (שלטון רוב)</w:t>
      </w:r>
      <w:r w:rsidR="00346630" w:rsidRPr="00106D3A">
        <w:rPr>
          <w:rFonts w:hint="cs"/>
          <w:sz w:val="24"/>
          <w:rtl/>
        </w:rPr>
        <w:t>.</w:t>
      </w:r>
      <w:r w:rsidR="009A166C" w:rsidRPr="00106D3A">
        <w:rPr>
          <w:rStyle w:val="FootnoteReference"/>
          <w:sz w:val="24"/>
          <w:rtl/>
        </w:rPr>
        <w:footnoteReference w:id="53"/>
      </w:r>
      <w:r w:rsidR="00346630" w:rsidRPr="00106D3A">
        <w:rPr>
          <w:rFonts w:hint="cs"/>
          <w:sz w:val="24"/>
          <w:rtl/>
        </w:rPr>
        <w:t xml:space="preserve"> </w:t>
      </w:r>
      <w:r w:rsidR="005D06E3" w:rsidRPr="00106D3A">
        <w:rPr>
          <w:rFonts w:hint="cs"/>
          <w:sz w:val="24"/>
          <w:rtl/>
        </w:rPr>
        <w:t xml:space="preserve">ערכאה נפרדת, חיצונית לשדרת השיפוט, התאימה למערכות חוקתיות שהתאוששו מניסיון לא-דמוקרטי אשר השחית את בתי המשפט הרגילים. זה אינו </w:t>
      </w:r>
      <w:r w:rsidR="00C62343" w:rsidRPr="00106D3A">
        <w:rPr>
          <w:rFonts w:hint="cs"/>
          <w:sz w:val="24"/>
          <w:rtl/>
        </w:rPr>
        <w:t>הניסיון</w:t>
      </w:r>
      <w:r w:rsidR="005D06E3" w:rsidRPr="00106D3A">
        <w:rPr>
          <w:rFonts w:hint="cs"/>
          <w:sz w:val="24"/>
          <w:rtl/>
        </w:rPr>
        <w:t xml:space="preserve"> הישראלי.</w:t>
      </w:r>
      <w:r w:rsidR="00B239AA" w:rsidRPr="00106D3A">
        <w:rPr>
          <w:rStyle w:val="FootnoteReference"/>
          <w:sz w:val="24"/>
          <w:rtl/>
        </w:rPr>
        <w:footnoteReference w:id="54"/>
      </w:r>
      <w:r w:rsidR="005D06E3" w:rsidRPr="00106D3A">
        <w:rPr>
          <w:rFonts w:hint="cs"/>
          <w:sz w:val="24"/>
          <w:rtl/>
        </w:rPr>
        <w:t xml:space="preserve"> </w:t>
      </w:r>
    </w:p>
    <w:p w:rsidR="0043167F" w:rsidRPr="00106D3A" w:rsidRDefault="00B96C03" w:rsidP="00953ECC">
      <w:pPr>
        <w:ind w:firstLine="720"/>
        <w:jc w:val="both"/>
        <w:rPr>
          <w:sz w:val="24"/>
          <w:rtl/>
        </w:rPr>
      </w:pPr>
      <w:r w:rsidRPr="00106D3A">
        <w:rPr>
          <w:rFonts w:hint="cs"/>
          <w:sz w:val="24"/>
          <w:rtl/>
        </w:rPr>
        <w:t xml:space="preserve">אולם כשעסק ברק במודל המוסדי הראוי לביקורת שיפוטית בישראל, הוא מיקם עצמו גם כן </w:t>
      </w:r>
      <w:r w:rsidRPr="00106D3A">
        <w:rPr>
          <w:sz w:val="24"/>
          <w:rtl/>
        </w:rPr>
        <w:t>–</w:t>
      </w:r>
      <w:r w:rsidRPr="00106D3A">
        <w:rPr>
          <w:rFonts w:hint="cs"/>
          <w:sz w:val="24"/>
          <w:rtl/>
        </w:rPr>
        <w:t xml:space="preserve"> כמו תומכי בית המשפט לחוקה </w:t>
      </w:r>
      <w:r w:rsidRPr="00106D3A">
        <w:rPr>
          <w:sz w:val="24"/>
          <w:rtl/>
        </w:rPr>
        <w:t>–</w:t>
      </w:r>
      <w:r w:rsidRPr="00106D3A">
        <w:rPr>
          <w:rFonts w:hint="cs"/>
          <w:sz w:val="24"/>
          <w:rtl/>
        </w:rPr>
        <w:t xml:space="preserve"> בצד הריכוזי של </w:t>
      </w:r>
      <w:r w:rsidR="003D07DC" w:rsidRPr="00106D3A">
        <w:rPr>
          <w:rFonts w:hint="cs"/>
          <w:sz w:val="24"/>
          <w:rtl/>
        </w:rPr>
        <w:t xml:space="preserve">הטווח. </w:t>
      </w:r>
      <w:r w:rsidR="00713783" w:rsidRPr="00106D3A">
        <w:rPr>
          <w:rFonts w:hint="cs"/>
          <w:sz w:val="24"/>
          <w:rtl/>
        </w:rPr>
        <w:t xml:space="preserve">במאמר המרכזי בנושא זה שפורסם </w:t>
      </w:r>
      <w:r w:rsidR="004C626B" w:rsidRPr="00106D3A">
        <w:rPr>
          <w:rFonts w:hint="cs"/>
          <w:sz w:val="24"/>
          <w:rtl/>
        </w:rPr>
        <w:t xml:space="preserve">בשנת 2005, הציג ברק את הטיעון </w:t>
      </w:r>
      <w:r w:rsidR="000405FD" w:rsidRPr="00106D3A">
        <w:rPr>
          <w:rFonts w:hint="cs"/>
          <w:sz w:val="24"/>
          <w:rtl/>
        </w:rPr>
        <w:t>התומך בריכוז סמכויות השפיטה החוקתית בידיו של בית המשפט העליון.</w:t>
      </w:r>
      <w:r w:rsidR="00AF21FE" w:rsidRPr="00106D3A">
        <w:rPr>
          <w:rStyle w:val="FootnoteReference"/>
          <w:sz w:val="24"/>
          <w:rtl/>
        </w:rPr>
        <w:footnoteReference w:id="55"/>
      </w:r>
      <w:r w:rsidR="000405FD" w:rsidRPr="00106D3A">
        <w:rPr>
          <w:rFonts w:hint="cs"/>
          <w:sz w:val="24"/>
          <w:rtl/>
        </w:rPr>
        <w:t xml:space="preserve"> </w:t>
      </w:r>
      <w:r w:rsidR="00F916D1" w:rsidRPr="00106D3A">
        <w:rPr>
          <w:rFonts w:hint="cs"/>
          <w:sz w:val="24"/>
          <w:rtl/>
        </w:rPr>
        <w:t xml:space="preserve">באותו מאמר ברק הכיר </w:t>
      </w:r>
      <w:r w:rsidR="00090F15" w:rsidRPr="00106D3A">
        <w:rPr>
          <w:rFonts w:hint="cs"/>
          <w:sz w:val="24"/>
          <w:rtl/>
        </w:rPr>
        <w:t xml:space="preserve">בטעמים התומכים בגישה הביזורית: יעילותו של ההסדר המאפשר לכל בית משפט לברר שאלות חוקתיות מבלי לעכב את ההליך עד לבירורן בערכאה החוקתית; </w:t>
      </w:r>
      <w:r w:rsidR="00640B32" w:rsidRPr="00106D3A">
        <w:rPr>
          <w:rFonts w:hint="cs"/>
          <w:sz w:val="24"/>
          <w:rtl/>
        </w:rPr>
        <w:t xml:space="preserve">מהותה של הנורמה החוקתית כמתנה את תוקפו של כל חיקוק, ללא קשר לשאלה באיזו ערכאה הוא נדון; </w:t>
      </w:r>
      <w:r w:rsidR="00730603" w:rsidRPr="00106D3A">
        <w:rPr>
          <w:rFonts w:hint="cs"/>
          <w:sz w:val="24"/>
          <w:rtl/>
        </w:rPr>
        <w:t>והיתרון שב"פעפוע"</w:t>
      </w:r>
      <w:r w:rsidR="00640B32" w:rsidRPr="00106D3A">
        <w:rPr>
          <w:rFonts w:hint="cs"/>
          <w:sz w:val="24"/>
          <w:rtl/>
        </w:rPr>
        <w:t xml:space="preserve"> </w:t>
      </w:r>
      <w:r w:rsidR="00730603" w:rsidRPr="00106D3A">
        <w:rPr>
          <w:rFonts w:hint="cs"/>
          <w:sz w:val="24"/>
          <w:rtl/>
        </w:rPr>
        <w:t xml:space="preserve">הדיון החוקתי </w:t>
      </w:r>
      <w:r w:rsidR="008E010E" w:rsidRPr="00106D3A">
        <w:rPr>
          <w:rFonts w:hint="cs"/>
          <w:sz w:val="24"/>
          <w:rtl/>
        </w:rPr>
        <w:t>לאורך זמן ועל פני רצף של תיקים הנדונים בהקשרים קונקרטיים טרם הכרעה כללית על ידי בית המשפט העליון בערעור.</w:t>
      </w:r>
      <w:r w:rsidR="0043167F" w:rsidRPr="00106D3A">
        <w:rPr>
          <w:rStyle w:val="FootnoteReference"/>
          <w:sz w:val="24"/>
          <w:rtl/>
        </w:rPr>
        <w:footnoteReference w:id="56"/>
      </w:r>
      <w:r w:rsidR="008E010E" w:rsidRPr="00106D3A">
        <w:rPr>
          <w:rFonts w:hint="cs"/>
          <w:sz w:val="24"/>
          <w:rtl/>
        </w:rPr>
        <w:t xml:space="preserve"> </w:t>
      </w:r>
      <w:r w:rsidR="007A30C0" w:rsidRPr="00106D3A">
        <w:rPr>
          <w:rFonts w:hint="cs"/>
          <w:sz w:val="24"/>
          <w:rtl/>
        </w:rPr>
        <w:t xml:space="preserve">עם זאת ברק סבר ששיקולים אלה נסוגים בפני יתרונותיה של השיטה הריכוזית לישראל </w:t>
      </w:r>
      <w:r w:rsidR="000A3245" w:rsidRPr="00106D3A">
        <w:rPr>
          <w:rFonts w:hint="cs"/>
          <w:sz w:val="24"/>
          <w:rtl/>
        </w:rPr>
        <w:t xml:space="preserve">בעת הזו: </w:t>
      </w:r>
      <w:r w:rsidR="001714AD" w:rsidRPr="00106D3A">
        <w:rPr>
          <w:rFonts w:hint="cs"/>
          <w:sz w:val="24"/>
          <w:rtl/>
        </w:rPr>
        <w:t xml:space="preserve">היכולת לתת מענה מהיר ואחיד לשאלות חוקתיות חשובות; </w:t>
      </w:r>
      <w:r w:rsidR="00642C44" w:rsidRPr="00106D3A">
        <w:rPr>
          <w:rFonts w:hint="cs"/>
          <w:sz w:val="24"/>
          <w:rtl/>
        </w:rPr>
        <w:t>עדיפותן של</w:t>
      </w:r>
      <w:r w:rsidR="00DD6CCE" w:rsidRPr="00106D3A">
        <w:rPr>
          <w:rFonts w:hint="cs"/>
          <w:sz w:val="24"/>
          <w:rtl/>
        </w:rPr>
        <w:t xml:space="preserve"> המקצועיות והמומחיות של שופטי העליון בתחום סבוך כפרשנות חוקתית; </w:t>
      </w:r>
      <w:r w:rsidR="00A04DD9" w:rsidRPr="00106D3A">
        <w:rPr>
          <w:rFonts w:hint="cs"/>
          <w:sz w:val="24"/>
          <w:rtl/>
        </w:rPr>
        <w:t xml:space="preserve">קיומה של מסורת חוקתית יציבה שהפקידה בידי בג"ץ </w:t>
      </w:r>
      <w:r w:rsidR="00832BBC" w:rsidRPr="00106D3A">
        <w:rPr>
          <w:rFonts w:hint="cs"/>
          <w:sz w:val="24"/>
          <w:rtl/>
        </w:rPr>
        <w:t>את הסמכות לאכוף את חוקי-</w:t>
      </w:r>
      <w:r w:rsidR="00A04DD9" w:rsidRPr="00106D3A">
        <w:rPr>
          <w:rFonts w:hint="cs"/>
          <w:sz w:val="24"/>
          <w:rtl/>
        </w:rPr>
        <w:t>היסוד</w:t>
      </w:r>
      <w:r w:rsidR="00832BBC" w:rsidRPr="00106D3A">
        <w:rPr>
          <w:rFonts w:hint="cs"/>
          <w:sz w:val="24"/>
          <w:rtl/>
        </w:rPr>
        <w:t>;</w:t>
      </w:r>
      <w:r w:rsidR="0028733C" w:rsidRPr="00106D3A">
        <w:rPr>
          <w:rStyle w:val="FootnoteReference"/>
          <w:sz w:val="24"/>
          <w:rtl/>
        </w:rPr>
        <w:footnoteReference w:id="57"/>
      </w:r>
      <w:r w:rsidR="00832BBC" w:rsidRPr="00106D3A">
        <w:rPr>
          <w:rFonts w:hint="cs"/>
          <w:sz w:val="24"/>
          <w:rtl/>
        </w:rPr>
        <w:t xml:space="preserve"> ולבסוף </w:t>
      </w:r>
      <w:r w:rsidR="00832BBC" w:rsidRPr="00106D3A">
        <w:rPr>
          <w:sz w:val="24"/>
          <w:rtl/>
        </w:rPr>
        <w:t>–</w:t>
      </w:r>
      <w:r w:rsidR="00832BBC" w:rsidRPr="00106D3A">
        <w:rPr>
          <w:rFonts w:hint="cs"/>
          <w:sz w:val="24"/>
          <w:rtl/>
        </w:rPr>
        <w:t xml:space="preserve"> השיקול המכריע </w:t>
      </w:r>
      <w:r w:rsidR="00D9310B" w:rsidRPr="00106D3A">
        <w:rPr>
          <w:sz w:val="24"/>
          <w:rtl/>
        </w:rPr>
        <w:t>–</w:t>
      </w:r>
      <w:r w:rsidR="00832BBC" w:rsidRPr="00106D3A">
        <w:rPr>
          <w:rFonts w:hint="cs"/>
          <w:sz w:val="24"/>
          <w:rtl/>
        </w:rPr>
        <w:t xml:space="preserve"> </w:t>
      </w:r>
      <w:r w:rsidR="00D9310B" w:rsidRPr="00106D3A">
        <w:rPr>
          <w:rFonts w:hint="cs"/>
          <w:sz w:val="24"/>
          <w:rtl/>
        </w:rPr>
        <w:t xml:space="preserve">עובדת היותה של השיטה החוקתית הישראלית שיטה צעירה המצויה בתהליכי ביסוס </w:t>
      </w:r>
      <w:r w:rsidR="00650F40" w:rsidRPr="00106D3A">
        <w:rPr>
          <w:rFonts w:hint="cs"/>
          <w:sz w:val="24"/>
          <w:rtl/>
        </w:rPr>
        <w:t xml:space="preserve">והתקבעות. נתון זה </w:t>
      </w:r>
      <w:r w:rsidR="00953ECC" w:rsidRPr="00106D3A">
        <w:rPr>
          <w:rFonts w:hint="cs"/>
          <w:sz w:val="24"/>
          <w:rtl/>
        </w:rPr>
        <w:t>ה</w:t>
      </w:r>
      <w:r w:rsidR="00650F40" w:rsidRPr="00106D3A">
        <w:rPr>
          <w:rFonts w:hint="cs"/>
          <w:sz w:val="24"/>
          <w:rtl/>
        </w:rPr>
        <w:t xml:space="preserve">צדיק </w:t>
      </w:r>
      <w:r w:rsidR="00953ECC" w:rsidRPr="00106D3A">
        <w:rPr>
          <w:rFonts w:hint="cs"/>
          <w:sz w:val="24"/>
          <w:rtl/>
        </w:rPr>
        <w:t xml:space="preserve">לשיטתו </w:t>
      </w:r>
      <w:r w:rsidR="00650F40" w:rsidRPr="00106D3A">
        <w:rPr>
          <w:rFonts w:hint="cs"/>
          <w:sz w:val="24"/>
          <w:rtl/>
        </w:rPr>
        <w:t xml:space="preserve">הפקדת הסמכות "המעורר[ת] קשיים" לבטל חוקי הכנסת בידי ערכאה שנהנית מאמון מוצק בציבור הישראלי </w:t>
      </w:r>
      <w:r w:rsidR="00650F40" w:rsidRPr="00106D3A">
        <w:rPr>
          <w:sz w:val="24"/>
          <w:rtl/>
        </w:rPr>
        <w:t>–</w:t>
      </w:r>
      <w:r w:rsidR="00650F40" w:rsidRPr="00106D3A">
        <w:rPr>
          <w:rFonts w:hint="cs"/>
          <w:sz w:val="24"/>
          <w:rtl/>
        </w:rPr>
        <w:t xml:space="preserve"> כלומר, בידי בית המשפט העליון.</w:t>
      </w:r>
      <w:r w:rsidR="00F9172D" w:rsidRPr="00106D3A">
        <w:rPr>
          <w:rStyle w:val="FootnoteReference"/>
          <w:sz w:val="24"/>
          <w:rtl/>
        </w:rPr>
        <w:footnoteReference w:id="58"/>
      </w:r>
      <w:r w:rsidR="00650F40" w:rsidRPr="00106D3A">
        <w:rPr>
          <w:rFonts w:hint="cs"/>
          <w:sz w:val="24"/>
          <w:rtl/>
        </w:rPr>
        <w:t xml:space="preserve"> </w:t>
      </w:r>
    </w:p>
    <w:p w:rsidR="005675DB" w:rsidRPr="00106D3A" w:rsidRDefault="00E03795" w:rsidP="009B4E79">
      <w:pPr>
        <w:ind w:firstLine="720"/>
        <w:jc w:val="both"/>
        <w:rPr>
          <w:sz w:val="24"/>
          <w:rtl/>
        </w:rPr>
      </w:pPr>
      <w:r w:rsidRPr="00106D3A">
        <w:rPr>
          <w:rFonts w:hint="cs"/>
          <w:sz w:val="24"/>
          <w:rtl/>
        </w:rPr>
        <w:t xml:space="preserve">כותבים </w:t>
      </w:r>
      <w:r w:rsidR="007808B1" w:rsidRPr="00106D3A">
        <w:rPr>
          <w:rFonts w:hint="cs"/>
          <w:sz w:val="24"/>
          <w:rtl/>
        </w:rPr>
        <w:t xml:space="preserve">נוספים </w:t>
      </w:r>
      <w:r w:rsidRPr="00106D3A">
        <w:rPr>
          <w:rFonts w:hint="cs"/>
          <w:sz w:val="24"/>
          <w:rtl/>
        </w:rPr>
        <w:t>מן הצד התומך בסמכות הביקורת השיפוט</w:t>
      </w:r>
      <w:r w:rsidR="00C77D50" w:rsidRPr="00106D3A">
        <w:rPr>
          <w:rFonts w:hint="cs"/>
          <w:sz w:val="24"/>
          <w:rtl/>
        </w:rPr>
        <w:t xml:space="preserve">ית כפי שהוכרה </w:t>
      </w:r>
      <w:r w:rsidR="00A67E55" w:rsidRPr="00106D3A">
        <w:rPr>
          <w:rFonts w:hint="cs"/>
          <w:sz w:val="24"/>
          <w:rtl/>
        </w:rPr>
        <w:t>בפסק דין</w:t>
      </w:r>
      <w:r w:rsidR="00C77D50" w:rsidRPr="00106D3A">
        <w:rPr>
          <w:rFonts w:hint="cs"/>
          <w:sz w:val="24"/>
          <w:rtl/>
        </w:rPr>
        <w:t xml:space="preserve"> בנק המזרחי התמקמו גם כן בקצה </w:t>
      </w:r>
      <w:r w:rsidR="00147D39" w:rsidRPr="00106D3A">
        <w:rPr>
          <w:rFonts w:hint="cs"/>
          <w:sz w:val="24"/>
          <w:rtl/>
        </w:rPr>
        <w:t>המעדיף ביקורת שיפוטית ריכוזית</w:t>
      </w:r>
      <w:r w:rsidR="00F00C45" w:rsidRPr="00106D3A">
        <w:rPr>
          <w:rFonts w:hint="cs"/>
          <w:sz w:val="24"/>
          <w:rtl/>
        </w:rPr>
        <w:t xml:space="preserve">, </w:t>
      </w:r>
      <w:r w:rsidR="00AA118D" w:rsidRPr="00106D3A">
        <w:rPr>
          <w:rFonts w:hint="cs"/>
          <w:sz w:val="24"/>
          <w:rtl/>
        </w:rPr>
        <w:t>בין בבית משפט לחוקה ובין</w:t>
      </w:r>
      <w:r w:rsidR="00C60775" w:rsidRPr="00106D3A">
        <w:rPr>
          <w:rFonts w:hint="cs"/>
          <w:sz w:val="24"/>
          <w:rtl/>
        </w:rPr>
        <w:t xml:space="preserve"> בבית המשפט העליון.</w:t>
      </w:r>
      <w:r w:rsidR="007808B1" w:rsidRPr="00106D3A">
        <w:rPr>
          <w:rStyle w:val="FootnoteReference"/>
          <w:sz w:val="24"/>
          <w:rtl/>
        </w:rPr>
        <w:footnoteReference w:id="59"/>
      </w:r>
      <w:r w:rsidR="00C60775" w:rsidRPr="00106D3A">
        <w:rPr>
          <w:rFonts w:hint="cs"/>
          <w:sz w:val="24"/>
          <w:rtl/>
        </w:rPr>
        <w:t xml:space="preserve"> </w:t>
      </w:r>
      <w:r w:rsidR="00AA118D" w:rsidRPr="00106D3A">
        <w:rPr>
          <w:rFonts w:hint="cs"/>
          <w:sz w:val="24"/>
          <w:rtl/>
        </w:rPr>
        <w:t xml:space="preserve">בכתיבה זו מבוטאת רתיעה מביקורת שיפוטית ביזורית ממגוון טעמים: </w:t>
      </w:r>
      <w:r w:rsidR="00ED2B75" w:rsidRPr="00106D3A">
        <w:rPr>
          <w:rFonts w:hint="cs"/>
          <w:sz w:val="24"/>
          <w:rtl/>
        </w:rPr>
        <w:t>היווצרותן של</w:t>
      </w:r>
      <w:r w:rsidR="00AA118D" w:rsidRPr="00106D3A">
        <w:rPr>
          <w:rFonts w:hint="cs"/>
          <w:sz w:val="24"/>
          <w:rtl/>
        </w:rPr>
        <w:t xml:space="preserve"> </w:t>
      </w:r>
      <w:r w:rsidR="001013B9" w:rsidRPr="00106D3A">
        <w:rPr>
          <w:rFonts w:hint="cs"/>
          <w:sz w:val="24"/>
          <w:rtl/>
        </w:rPr>
        <w:t xml:space="preserve">סתירות ואי-ודאות בדין החוקתי; הבזבוז שייגרם כתוצאה מדיונים חוזרים בשאלות </w:t>
      </w:r>
      <w:r w:rsidR="00EB3FF4" w:rsidRPr="00106D3A">
        <w:rPr>
          <w:rFonts w:hint="cs"/>
          <w:sz w:val="24"/>
          <w:rtl/>
        </w:rPr>
        <w:t xml:space="preserve">חוקתיות </w:t>
      </w:r>
      <w:r w:rsidR="001013B9" w:rsidRPr="00106D3A">
        <w:rPr>
          <w:rFonts w:hint="cs"/>
          <w:sz w:val="24"/>
          <w:rtl/>
        </w:rPr>
        <w:t xml:space="preserve">זהות תחת הכרעה יחידנית בבית המשפט העליון; </w:t>
      </w:r>
      <w:r w:rsidR="00ED2B75" w:rsidRPr="00106D3A">
        <w:rPr>
          <w:rFonts w:hint="cs"/>
          <w:sz w:val="24"/>
          <w:rtl/>
        </w:rPr>
        <w:t xml:space="preserve">החשש מפני </w:t>
      </w:r>
      <w:r w:rsidR="00F72CCC" w:rsidRPr="00106D3A">
        <w:rPr>
          <w:rFonts w:hint="cs"/>
          <w:sz w:val="24"/>
          <w:rtl/>
        </w:rPr>
        <w:t xml:space="preserve">רתיעה של שופטי ערכאות </w:t>
      </w:r>
      <w:r w:rsidR="007C649F" w:rsidRPr="00106D3A">
        <w:rPr>
          <w:rFonts w:hint="cs"/>
          <w:sz w:val="24"/>
          <w:rtl/>
        </w:rPr>
        <w:t xml:space="preserve">נמוכות </w:t>
      </w:r>
      <w:r w:rsidR="00F72CCC" w:rsidRPr="00106D3A">
        <w:rPr>
          <w:rFonts w:hint="cs"/>
          <w:sz w:val="24"/>
          <w:rtl/>
        </w:rPr>
        <w:t xml:space="preserve">מפני </w:t>
      </w:r>
      <w:r w:rsidR="00906001" w:rsidRPr="00106D3A">
        <w:rPr>
          <w:rFonts w:hint="cs"/>
          <w:sz w:val="24"/>
          <w:rtl/>
        </w:rPr>
        <w:t xml:space="preserve">מימוש סמכות הביקורת השיפוטית </w:t>
      </w:r>
      <w:r w:rsidR="00F72CCC" w:rsidRPr="00106D3A">
        <w:rPr>
          <w:rFonts w:hint="cs"/>
          <w:sz w:val="24"/>
          <w:rtl/>
        </w:rPr>
        <w:t xml:space="preserve">נוכח הרגישות הפוליטית של </w:t>
      </w:r>
      <w:r w:rsidR="00906001" w:rsidRPr="00106D3A">
        <w:rPr>
          <w:rFonts w:hint="cs"/>
          <w:sz w:val="24"/>
          <w:rtl/>
        </w:rPr>
        <w:lastRenderedPageBreak/>
        <w:t>התחום</w:t>
      </w:r>
      <w:r w:rsidR="00F72CCC" w:rsidRPr="00106D3A">
        <w:rPr>
          <w:rFonts w:hint="cs"/>
          <w:sz w:val="24"/>
          <w:rtl/>
        </w:rPr>
        <w:t xml:space="preserve"> (חשש שהתממש במידה רבה); ומנגד החשש מפני </w:t>
      </w:r>
      <w:r w:rsidR="003E60E3" w:rsidRPr="00106D3A">
        <w:rPr>
          <w:rFonts w:hint="cs"/>
          <w:sz w:val="24"/>
          <w:rtl/>
        </w:rPr>
        <w:t xml:space="preserve">ניצול הסמכות בידי שופטים לא-אחראיים או כאלה שאינם מחויבים למסורת הליבראלית של המשפט החוקתי </w:t>
      </w:r>
      <w:r w:rsidR="009E1EE1" w:rsidRPr="00106D3A">
        <w:rPr>
          <w:rFonts w:hint="cs"/>
          <w:sz w:val="24"/>
          <w:rtl/>
        </w:rPr>
        <w:t xml:space="preserve">הישראלי, דוגמת </w:t>
      </w:r>
      <w:r w:rsidR="003E60E3" w:rsidRPr="00106D3A">
        <w:rPr>
          <w:rFonts w:hint="cs"/>
          <w:sz w:val="24"/>
          <w:rtl/>
        </w:rPr>
        <w:t>שופטי הערכאות הדתיות (</w:t>
      </w:r>
      <w:r w:rsidR="00973BE1" w:rsidRPr="00106D3A">
        <w:rPr>
          <w:rFonts w:hint="cs"/>
          <w:sz w:val="24"/>
          <w:rtl/>
        </w:rPr>
        <w:t>חשש שהופרך לחלוטין, לפי שעה)</w:t>
      </w:r>
      <w:r w:rsidR="00BB3B33" w:rsidRPr="00106D3A">
        <w:rPr>
          <w:rFonts w:hint="cs"/>
          <w:sz w:val="24"/>
          <w:rtl/>
        </w:rPr>
        <w:t xml:space="preserve">. לבסוף, תומכי הגישה הריכוזית מרבים להדגיש את כובד המשקל המוסרי והפוליטי של </w:t>
      </w:r>
      <w:r w:rsidR="00B477AF" w:rsidRPr="00106D3A">
        <w:rPr>
          <w:rFonts w:hint="cs"/>
          <w:sz w:val="24"/>
          <w:rtl/>
        </w:rPr>
        <w:t xml:space="preserve">הביקורת השיפוטית החוקתית, מאפיין שמצדיק לשיטתם הפקדתה בידי שופטים </w:t>
      </w:r>
      <w:r w:rsidR="0044694E" w:rsidRPr="00106D3A">
        <w:rPr>
          <w:rFonts w:hint="cs"/>
          <w:sz w:val="24"/>
          <w:rtl/>
        </w:rPr>
        <w:t>בעלי</w:t>
      </w:r>
      <w:r w:rsidR="00663A21" w:rsidRPr="00106D3A">
        <w:rPr>
          <w:rFonts w:hint="cs"/>
          <w:sz w:val="24"/>
          <w:rtl/>
        </w:rPr>
        <w:t xml:space="preserve"> ותק, </w:t>
      </w:r>
      <w:r w:rsidR="00EF0284" w:rsidRPr="00106D3A">
        <w:rPr>
          <w:rFonts w:hint="cs"/>
          <w:sz w:val="24"/>
          <w:rtl/>
        </w:rPr>
        <w:t xml:space="preserve">ניסיון </w:t>
      </w:r>
      <w:r w:rsidR="0044694E" w:rsidRPr="00106D3A">
        <w:rPr>
          <w:rFonts w:hint="cs"/>
          <w:sz w:val="24"/>
          <w:rtl/>
        </w:rPr>
        <w:t>ומעמד</w:t>
      </w:r>
      <w:r w:rsidR="00830A18" w:rsidRPr="00106D3A">
        <w:rPr>
          <w:rFonts w:hint="cs"/>
          <w:sz w:val="24"/>
          <w:rtl/>
        </w:rPr>
        <w:t>.</w:t>
      </w:r>
      <w:r w:rsidR="00265141" w:rsidRPr="00106D3A">
        <w:rPr>
          <w:rFonts w:hint="cs"/>
          <w:sz w:val="24"/>
          <w:rtl/>
        </w:rPr>
        <w:t xml:space="preserve"> </w:t>
      </w:r>
      <w:r w:rsidR="000468F3" w:rsidRPr="00106D3A">
        <w:rPr>
          <w:rFonts w:hint="cs"/>
          <w:sz w:val="24"/>
          <w:rtl/>
        </w:rPr>
        <w:t xml:space="preserve">אף שיש גם קולות שקולים יותר </w:t>
      </w:r>
      <w:r w:rsidR="00265141" w:rsidRPr="00106D3A">
        <w:rPr>
          <w:rFonts w:hint="cs"/>
          <w:sz w:val="24"/>
          <w:rtl/>
        </w:rPr>
        <w:t>בשיח האקדמי</w:t>
      </w:r>
      <w:r w:rsidR="000468F3" w:rsidRPr="00106D3A">
        <w:rPr>
          <w:rFonts w:hint="cs"/>
          <w:sz w:val="24"/>
          <w:rtl/>
        </w:rPr>
        <w:t>, המכירים בחסרונות</w:t>
      </w:r>
      <w:r w:rsidR="00DC1C5F" w:rsidRPr="00106D3A">
        <w:rPr>
          <w:rFonts w:hint="cs"/>
          <w:sz w:val="24"/>
          <w:rtl/>
        </w:rPr>
        <w:t>יו</w:t>
      </w:r>
      <w:r w:rsidR="000468F3" w:rsidRPr="00106D3A">
        <w:rPr>
          <w:rFonts w:hint="cs"/>
          <w:sz w:val="24"/>
          <w:rtl/>
        </w:rPr>
        <w:t xml:space="preserve"> של </w:t>
      </w:r>
      <w:r w:rsidR="00DC1C5F" w:rsidRPr="00106D3A">
        <w:rPr>
          <w:rFonts w:hint="cs"/>
          <w:sz w:val="24"/>
          <w:rtl/>
        </w:rPr>
        <w:t>ה</w:t>
      </w:r>
      <w:r w:rsidR="000468F3" w:rsidRPr="00106D3A">
        <w:rPr>
          <w:rFonts w:hint="cs"/>
          <w:sz w:val="24"/>
          <w:rtl/>
        </w:rPr>
        <w:t xml:space="preserve">מודל </w:t>
      </w:r>
      <w:r w:rsidR="00DC1C5F" w:rsidRPr="00106D3A">
        <w:rPr>
          <w:rFonts w:hint="cs"/>
          <w:sz w:val="24"/>
          <w:rtl/>
        </w:rPr>
        <w:t>ה</w:t>
      </w:r>
      <w:r w:rsidR="000468F3" w:rsidRPr="00106D3A">
        <w:rPr>
          <w:rFonts w:hint="cs"/>
          <w:sz w:val="24"/>
          <w:rtl/>
        </w:rPr>
        <w:t>ריכוזי,</w:t>
      </w:r>
      <w:bookmarkStart w:id="28" w:name="_Ref365893913"/>
      <w:r w:rsidR="001F22F8" w:rsidRPr="00106D3A">
        <w:rPr>
          <w:rStyle w:val="FootnoteReference"/>
          <w:sz w:val="24"/>
          <w:rtl/>
        </w:rPr>
        <w:footnoteReference w:id="60"/>
      </w:r>
      <w:bookmarkEnd w:id="28"/>
      <w:r w:rsidR="00265141" w:rsidRPr="00106D3A">
        <w:rPr>
          <w:rFonts w:hint="cs"/>
          <w:sz w:val="24"/>
          <w:rtl/>
        </w:rPr>
        <w:t xml:space="preserve"> כמעט ולא נשמעת </w:t>
      </w:r>
      <w:r w:rsidR="000468F3" w:rsidRPr="00106D3A">
        <w:rPr>
          <w:rFonts w:hint="cs"/>
          <w:sz w:val="24"/>
          <w:rtl/>
        </w:rPr>
        <w:t xml:space="preserve">בו </w:t>
      </w:r>
      <w:r w:rsidR="009B254A" w:rsidRPr="00106D3A">
        <w:rPr>
          <w:rFonts w:hint="cs"/>
          <w:sz w:val="24"/>
          <w:rtl/>
        </w:rPr>
        <w:t xml:space="preserve">עמדה התומכת </w:t>
      </w:r>
      <w:r w:rsidR="00265141" w:rsidRPr="00106D3A">
        <w:rPr>
          <w:rFonts w:hint="cs"/>
          <w:sz w:val="24"/>
          <w:rtl/>
        </w:rPr>
        <w:t xml:space="preserve">באופן </w:t>
      </w:r>
      <w:r w:rsidR="000468F3" w:rsidRPr="00106D3A">
        <w:rPr>
          <w:rFonts w:hint="cs"/>
          <w:sz w:val="24"/>
          <w:rtl/>
        </w:rPr>
        <w:t xml:space="preserve">חיובי </w:t>
      </w:r>
      <w:r w:rsidR="009B254A" w:rsidRPr="00106D3A">
        <w:rPr>
          <w:rFonts w:hint="cs"/>
          <w:sz w:val="24"/>
          <w:rtl/>
        </w:rPr>
        <w:t>בחלופה הביזורית.</w:t>
      </w:r>
      <w:bookmarkStart w:id="29" w:name="_Ref378692843"/>
      <w:r w:rsidR="003A3D18" w:rsidRPr="00106D3A">
        <w:rPr>
          <w:rStyle w:val="FootnoteReference"/>
          <w:sz w:val="24"/>
          <w:rtl/>
        </w:rPr>
        <w:footnoteReference w:id="61"/>
      </w:r>
      <w:bookmarkEnd w:id="29"/>
      <w:r w:rsidR="009B254A" w:rsidRPr="00106D3A">
        <w:rPr>
          <w:rFonts w:hint="cs"/>
          <w:sz w:val="24"/>
          <w:rtl/>
        </w:rPr>
        <w:t xml:space="preserve">  </w:t>
      </w:r>
    </w:p>
    <w:p w:rsidR="00504837" w:rsidRPr="00106D3A" w:rsidRDefault="00E4783F" w:rsidP="002556DF">
      <w:pPr>
        <w:ind w:firstLine="720"/>
        <w:jc w:val="both"/>
        <w:rPr>
          <w:sz w:val="24"/>
          <w:rtl/>
        </w:rPr>
      </w:pPr>
      <w:r w:rsidRPr="00106D3A">
        <w:rPr>
          <w:rFonts w:hint="cs"/>
          <w:sz w:val="24"/>
          <w:rtl/>
        </w:rPr>
        <w:t>ההטיה של השיח לכיוון הרי</w:t>
      </w:r>
      <w:r w:rsidR="004B5E9F" w:rsidRPr="00106D3A">
        <w:rPr>
          <w:rFonts w:hint="cs"/>
          <w:sz w:val="24"/>
          <w:rtl/>
        </w:rPr>
        <w:t>כוזי מצאה ביטויה</w:t>
      </w:r>
      <w:r w:rsidR="000C691F" w:rsidRPr="00106D3A">
        <w:rPr>
          <w:rFonts w:hint="cs"/>
          <w:sz w:val="24"/>
          <w:rtl/>
        </w:rPr>
        <w:t>ּ</w:t>
      </w:r>
      <w:r w:rsidR="004B5E9F" w:rsidRPr="00106D3A">
        <w:rPr>
          <w:rFonts w:hint="cs"/>
          <w:sz w:val="24"/>
          <w:rtl/>
        </w:rPr>
        <w:t xml:space="preserve"> גם בהצעות הרבות שהועלו לאורך השנים </w:t>
      </w:r>
      <w:r w:rsidR="009D1898" w:rsidRPr="00106D3A">
        <w:rPr>
          <w:rFonts w:hint="cs"/>
          <w:sz w:val="24"/>
          <w:rtl/>
        </w:rPr>
        <w:t xml:space="preserve">לעיגון סמכות הביקורת השיפוטית בטקסט חוקתי. </w:t>
      </w:r>
      <w:r w:rsidR="002A061F" w:rsidRPr="00106D3A">
        <w:rPr>
          <w:rFonts w:hint="cs"/>
          <w:sz w:val="24"/>
          <w:rtl/>
        </w:rPr>
        <w:t>מבין ה</w:t>
      </w:r>
      <w:r w:rsidR="00DE2E29" w:rsidRPr="00106D3A">
        <w:rPr>
          <w:rFonts w:hint="cs"/>
          <w:sz w:val="24"/>
          <w:rtl/>
        </w:rPr>
        <w:t xml:space="preserve">הצעות </w:t>
      </w:r>
      <w:r w:rsidR="002A061F" w:rsidRPr="00106D3A">
        <w:rPr>
          <w:rFonts w:hint="cs"/>
          <w:sz w:val="24"/>
          <w:rtl/>
        </w:rPr>
        <w:t xml:space="preserve">הוותיקות </w:t>
      </w:r>
      <w:r w:rsidR="00DE2E29" w:rsidRPr="00106D3A">
        <w:rPr>
          <w:rFonts w:hint="cs"/>
          <w:sz w:val="24"/>
          <w:rtl/>
        </w:rPr>
        <w:t>לחקיק</w:t>
      </w:r>
      <w:r w:rsidR="002A061F" w:rsidRPr="00106D3A">
        <w:rPr>
          <w:rFonts w:hint="cs"/>
          <w:sz w:val="24"/>
          <w:rtl/>
        </w:rPr>
        <w:t>ת</w:t>
      </w:r>
      <w:r w:rsidR="00DE2E29" w:rsidRPr="00106D3A">
        <w:rPr>
          <w:rFonts w:hint="cs"/>
          <w:sz w:val="24"/>
          <w:rtl/>
        </w:rPr>
        <w:t xml:space="preserve">-יסוד בנושא זכויות אדם, </w:t>
      </w:r>
      <w:r w:rsidR="002A061F" w:rsidRPr="00106D3A">
        <w:rPr>
          <w:rFonts w:hint="cs"/>
          <w:sz w:val="24"/>
          <w:rtl/>
        </w:rPr>
        <w:t xml:space="preserve">אלה </w:t>
      </w:r>
      <w:r w:rsidR="00DE2E29" w:rsidRPr="00106D3A">
        <w:rPr>
          <w:rFonts w:hint="cs"/>
          <w:sz w:val="24"/>
          <w:rtl/>
        </w:rPr>
        <w:t xml:space="preserve">אשר כללו </w:t>
      </w:r>
      <w:r w:rsidR="002A061F" w:rsidRPr="00106D3A">
        <w:rPr>
          <w:rFonts w:hint="cs"/>
          <w:sz w:val="24"/>
          <w:rtl/>
        </w:rPr>
        <w:t>הסדר של ביקורת שיפוטית ע</w:t>
      </w:r>
      <w:r w:rsidR="00AC4A11" w:rsidRPr="00106D3A">
        <w:rPr>
          <w:rFonts w:hint="cs"/>
          <w:sz w:val="24"/>
          <w:rtl/>
        </w:rPr>
        <w:t>י</w:t>
      </w:r>
      <w:r w:rsidR="002A061F" w:rsidRPr="00106D3A">
        <w:rPr>
          <w:rFonts w:hint="cs"/>
          <w:sz w:val="24"/>
          <w:rtl/>
        </w:rPr>
        <w:t>צבו אותו לפי המודל הריכוזי.</w:t>
      </w:r>
      <w:r w:rsidR="002D15DB" w:rsidRPr="00106D3A">
        <w:rPr>
          <w:rStyle w:val="FootnoteReference"/>
          <w:sz w:val="24"/>
          <w:rtl/>
        </w:rPr>
        <w:footnoteReference w:id="62"/>
      </w:r>
      <w:r w:rsidR="00493095" w:rsidRPr="00106D3A">
        <w:rPr>
          <w:rFonts w:hint="cs"/>
          <w:sz w:val="24"/>
          <w:rtl/>
        </w:rPr>
        <w:t xml:space="preserve"> </w:t>
      </w:r>
      <w:r w:rsidR="006C208B" w:rsidRPr="00106D3A">
        <w:rPr>
          <w:rFonts w:hint="cs"/>
          <w:sz w:val="24"/>
          <w:rtl/>
        </w:rPr>
        <w:t xml:space="preserve">כחלק מהמהלך שהביא לכינון שני חוקי-היסוד על זכויות האדם ב-1992, הוסרו מהצעות החוק </w:t>
      </w:r>
      <w:r w:rsidR="004E483E" w:rsidRPr="00106D3A">
        <w:rPr>
          <w:rFonts w:hint="cs"/>
          <w:sz w:val="24"/>
          <w:rtl/>
        </w:rPr>
        <w:t xml:space="preserve">הפרטיות של ח"כ אמנון רובינשטיין </w:t>
      </w:r>
      <w:r w:rsidR="006C208B" w:rsidRPr="00106D3A">
        <w:rPr>
          <w:rFonts w:hint="cs"/>
          <w:sz w:val="24"/>
          <w:rtl/>
        </w:rPr>
        <w:t>ה</w:t>
      </w:r>
      <w:r w:rsidR="00F44269" w:rsidRPr="00106D3A">
        <w:rPr>
          <w:rFonts w:hint="cs"/>
          <w:sz w:val="24"/>
          <w:rtl/>
        </w:rPr>
        <w:t>רכיבים העוסקים בביקורת שיפוטית</w:t>
      </w:r>
      <w:r w:rsidR="0036421A" w:rsidRPr="00106D3A">
        <w:rPr>
          <w:rFonts w:hint="cs"/>
          <w:sz w:val="24"/>
          <w:rtl/>
        </w:rPr>
        <w:t xml:space="preserve"> ולכן לא הוסדרה בהם באופן מפורש שאלת הסמכות</w:t>
      </w:r>
      <w:r w:rsidR="00926DE9" w:rsidRPr="00106D3A">
        <w:rPr>
          <w:rFonts w:hint="cs"/>
          <w:sz w:val="24"/>
          <w:rtl/>
        </w:rPr>
        <w:t>.</w:t>
      </w:r>
      <w:r w:rsidR="00926DE9" w:rsidRPr="00106D3A">
        <w:rPr>
          <w:rStyle w:val="FootnoteReference"/>
          <w:sz w:val="24"/>
          <w:rtl/>
        </w:rPr>
        <w:footnoteReference w:id="63"/>
      </w:r>
      <w:r w:rsidR="00F44269" w:rsidRPr="00106D3A">
        <w:rPr>
          <w:rFonts w:hint="cs"/>
          <w:sz w:val="24"/>
          <w:rtl/>
        </w:rPr>
        <w:t xml:space="preserve"> </w:t>
      </w:r>
      <w:r w:rsidR="00796D49" w:rsidRPr="00106D3A">
        <w:rPr>
          <w:rFonts w:hint="cs"/>
          <w:sz w:val="24"/>
          <w:rtl/>
        </w:rPr>
        <w:t>בדיוני ועדת</w:t>
      </w:r>
      <w:r w:rsidR="0036421A" w:rsidRPr="00106D3A">
        <w:rPr>
          <w:rFonts w:hint="cs"/>
          <w:sz w:val="24"/>
          <w:rtl/>
        </w:rPr>
        <w:t xml:space="preserve"> חוקה, חוק ומשפט של הכנסת שהכינה</w:t>
      </w:r>
      <w:r w:rsidR="00445C50" w:rsidRPr="00106D3A">
        <w:rPr>
          <w:rFonts w:hint="cs"/>
          <w:sz w:val="24"/>
          <w:rtl/>
        </w:rPr>
        <w:t xml:space="preserve"> את הצ</w:t>
      </w:r>
      <w:r w:rsidR="00DE2E29" w:rsidRPr="00106D3A">
        <w:rPr>
          <w:rFonts w:hint="cs"/>
          <w:sz w:val="24"/>
          <w:rtl/>
        </w:rPr>
        <w:t xml:space="preserve">עת חוק-יסוד: </w:t>
      </w:r>
      <w:r w:rsidR="00796D49" w:rsidRPr="00106D3A">
        <w:rPr>
          <w:rFonts w:hint="cs"/>
          <w:sz w:val="24"/>
          <w:rtl/>
        </w:rPr>
        <w:t>כבוד האדם וחירותו לקריאה ראשונה</w:t>
      </w:r>
      <w:r w:rsidR="0036421A" w:rsidRPr="00106D3A">
        <w:rPr>
          <w:rFonts w:hint="cs"/>
          <w:sz w:val="24"/>
          <w:rtl/>
        </w:rPr>
        <w:t xml:space="preserve"> סבר </w:t>
      </w:r>
      <w:r w:rsidR="00F444DB" w:rsidRPr="00106D3A">
        <w:rPr>
          <w:rFonts w:hint="cs"/>
          <w:sz w:val="24"/>
          <w:rtl/>
        </w:rPr>
        <w:t xml:space="preserve">יושב-ראש הוועדה, ח"כ אוריאל לין, </w:t>
      </w:r>
      <w:r w:rsidR="00C87C70" w:rsidRPr="00106D3A">
        <w:rPr>
          <w:rFonts w:hint="cs"/>
          <w:sz w:val="24"/>
          <w:rtl/>
        </w:rPr>
        <w:t>שמשמעות ההצעה היא "</w:t>
      </w:r>
      <w:r w:rsidR="00C87C70" w:rsidRPr="00106D3A">
        <w:rPr>
          <w:sz w:val="24"/>
          <w:rtl/>
        </w:rPr>
        <w:t>שכל בית משפט יוכל לקבוע שהוראת חוק היא לא תקפה משום שהיא פוגעת</w:t>
      </w:r>
      <w:r w:rsidR="00C87C70" w:rsidRPr="00106D3A">
        <w:rPr>
          <w:rFonts w:hint="cs"/>
          <w:sz w:val="24"/>
          <w:rtl/>
        </w:rPr>
        <w:t xml:space="preserve"> </w:t>
      </w:r>
      <w:r w:rsidR="00C87C70" w:rsidRPr="00106D3A">
        <w:rPr>
          <w:sz w:val="24"/>
          <w:rtl/>
        </w:rPr>
        <w:t>בזכויות יסוד שנקבעו בחוק זה</w:t>
      </w:r>
      <w:r w:rsidR="00C87C70" w:rsidRPr="00106D3A">
        <w:rPr>
          <w:rFonts w:hint="cs"/>
          <w:sz w:val="24"/>
          <w:rtl/>
        </w:rPr>
        <w:t xml:space="preserve">". אך ח"כ רובינשטיין, מנסח ההצעה, התקומם: </w:t>
      </w:r>
      <w:r w:rsidR="00C87C70" w:rsidRPr="00106D3A">
        <w:rPr>
          <w:sz w:val="24"/>
          <w:rtl/>
        </w:rPr>
        <w:t>"בית המשפט המחוזי חייב להעביר את העניין לבית המשפט העליון. אני לא</w:t>
      </w:r>
      <w:r w:rsidR="00C87C70" w:rsidRPr="00106D3A">
        <w:rPr>
          <w:rFonts w:hint="cs"/>
          <w:sz w:val="24"/>
          <w:rtl/>
        </w:rPr>
        <w:t xml:space="preserve"> </w:t>
      </w:r>
      <w:r w:rsidR="00C87C70" w:rsidRPr="00106D3A">
        <w:rPr>
          <w:sz w:val="24"/>
          <w:rtl/>
        </w:rPr>
        <w:t>מוכן שבית משפט שלום יפסוק שחוק של הכנסת הוא לא קונסטיטוציוני</w:t>
      </w:r>
      <w:r w:rsidR="00C87C70" w:rsidRPr="00106D3A">
        <w:rPr>
          <w:rFonts w:hint="cs"/>
          <w:sz w:val="24"/>
          <w:rtl/>
        </w:rPr>
        <w:t>.</w:t>
      </w:r>
      <w:r w:rsidR="00C87C70" w:rsidRPr="00106D3A">
        <w:rPr>
          <w:sz w:val="24"/>
          <w:rtl/>
        </w:rPr>
        <w:t>"</w:t>
      </w:r>
      <w:r w:rsidR="00E03D2E" w:rsidRPr="00106D3A">
        <w:rPr>
          <w:rStyle w:val="FootnoteReference"/>
          <w:sz w:val="24"/>
          <w:rtl/>
        </w:rPr>
        <w:footnoteReference w:id="64"/>
      </w:r>
      <w:r w:rsidR="002556DF" w:rsidRPr="00106D3A">
        <w:rPr>
          <w:rFonts w:hint="cs"/>
          <w:sz w:val="24"/>
          <w:rtl/>
        </w:rPr>
        <w:t xml:space="preserve"> </w:t>
      </w:r>
    </w:p>
    <w:p w:rsidR="009C0861" w:rsidRPr="00106D3A" w:rsidRDefault="003754EB" w:rsidP="00744EF7">
      <w:pPr>
        <w:ind w:firstLine="720"/>
        <w:jc w:val="both"/>
        <w:rPr>
          <w:sz w:val="24"/>
          <w:rtl/>
        </w:rPr>
      </w:pPr>
      <w:r w:rsidRPr="00106D3A">
        <w:rPr>
          <w:rFonts w:hint="cs"/>
          <w:sz w:val="24"/>
          <w:rtl/>
        </w:rPr>
        <w:t>אף יותר מעמדת המציעים השונים</w:t>
      </w:r>
      <w:r w:rsidR="00B22238" w:rsidRPr="00106D3A">
        <w:rPr>
          <w:rFonts w:hint="cs"/>
          <w:sz w:val="24"/>
          <w:rtl/>
        </w:rPr>
        <w:t xml:space="preserve"> בתקופה שעד</w:t>
      </w:r>
      <w:r w:rsidRPr="00106D3A">
        <w:rPr>
          <w:rFonts w:hint="cs"/>
          <w:sz w:val="24"/>
          <w:rtl/>
        </w:rPr>
        <w:t xml:space="preserve"> 1992, בולטת ההתכנסות לקצה הריכוזי </w:t>
      </w:r>
      <w:r w:rsidR="00B22238" w:rsidRPr="00106D3A">
        <w:rPr>
          <w:rFonts w:hint="cs"/>
          <w:sz w:val="24"/>
          <w:rtl/>
        </w:rPr>
        <w:t>ב</w:t>
      </w:r>
      <w:r w:rsidRPr="00106D3A">
        <w:rPr>
          <w:rFonts w:hint="cs"/>
          <w:sz w:val="24"/>
          <w:rtl/>
        </w:rPr>
        <w:t xml:space="preserve">הצעות החוקה השונות שנוסחו בישראל מאז "המהפכה החוקתית", כלומר אחרי שכבר החלה לפעול בישראל הביקורת השיפוטית על שני מסלוליה. </w:t>
      </w:r>
      <w:r w:rsidR="00311145" w:rsidRPr="00106D3A">
        <w:rPr>
          <w:rFonts w:hint="cs"/>
          <w:sz w:val="24"/>
          <w:rtl/>
        </w:rPr>
        <w:t xml:space="preserve">כמה פרויקטים בולטים של ניסוח חוקתי </w:t>
      </w:r>
      <w:r w:rsidR="00B22238" w:rsidRPr="00106D3A">
        <w:rPr>
          <w:rFonts w:hint="cs"/>
          <w:sz w:val="24"/>
          <w:rtl/>
        </w:rPr>
        <w:t xml:space="preserve">נוהלו בישראל בשני העשורים האחרונים, על-ידי </w:t>
      </w:r>
      <w:r w:rsidR="00872499" w:rsidRPr="00106D3A">
        <w:rPr>
          <w:rFonts w:hint="cs"/>
          <w:sz w:val="24"/>
          <w:rtl/>
        </w:rPr>
        <w:t xml:space="preserve">מוסדות שונים </w:t>
      </w:r>
      <w:r w:rsidR="00B22238" w:rsidRPr="00106D3A">
        <w:rPr>
          <w:rFonts w:hint="cs"/>
          <w:sz w:val="24"/>
          <w:rtl/>
        </w:rPr>
        <w:t>ש</w:t>
      </w:r>
      <w:r w:rsidR="009C0861" w:rsidRPr="00106D3A">
        <w:rPr>
          <w:rFonts w:hint="cs"/>
          <w:sz w:val="24"/>
          <w:rtl/>
        </w:rPr>
        <w:t xml:space="preserve">אינם מזוהים עם </w:t>
      </w:r>
      <w:r w:rsidR="00DE414A" w:rsidRPr="00106D3A">
        <w:rPr>
          <w:rFonts w:hint="cs"/>
          <w:sz w:val="24"/>
          <w:rtl/>
        </w:rPr>
        <w:t xml:space="preserve">אותו </w:t>
      </w:r>
      <w:r w:rsidR="009C0861" w:rsidRPr="00106D3A">
        <w:rPr>
          <w:rFonts w:hint="cs"/>
          <w:sz w:val="24"/>
          <w:rtl/>
        </w:rPr>
        <w:t xml:space="preserve">מחנה אידיאולוגי. למרות זאת כולם אימצו מודל ריכוזי של ביקורת שיפוטית במסגרת הצעותיהם. </w:t>
      </w:r>
      <w:r w:rsidR="006C0FAD" w:rsidRPr="00106D3A">
        <w:rPr>
          <w:rFonts w:hint="cs"/>
          <w:sz w:val="24"/>
          <w:rtl/>
        </w:rPr>
        <w:t>כך נעשה בהצעת החוקה של המכון הישראלי לדמוקרטיה,</w:t>
      </w:r>
      <w:bookmarkStart w:id="30" w:name="_Ref365889964"/>
      <w:r w:rsidR="00FC12DA" w:rsidRPr="00106D3A">
        <w:rPr>
          <w:rStyle w:val="FootnoteReference"/>
          <w:sz w:val="24"/>
          <w:rtl/>
        </w:rPr>
        <w:footnoteReference w:id="65"/>
      </w:r>
      <w:bookmarkEnd w:id="30"/>
      <w:r w:rsidR="006C0FAD" w:rsidRPr="00106D3A">
        <w:rPr>
          <w:rFonts w:hint="cs"/>
          <w:sz w:val="24"/>
          <w:rtl/>
        </w:rPr>
        <w:t xml:space="preserve"> בהצעת החוקה של ועדת חוקה, חוק ומשפט של הכנסת,</w:t>
      </w:r>
      <w:bookmarkStart w:id="31" w:name="_Ref365887784"/>
      <w:r w:rsidR="004030D7" w:rsidRPr="00106D3A">
        <w:rPr>
          <w:rStyle w:val="FootnoteReference"/>
          <w:sz w:val="24"/>
          <w:rtl/>
        </w:rPr>
        <w:footnoteReference w:id="66"/>
      </w:r>
      <w:bookmarkEnd w:id="31"/>
      <w:r w:rsidR="006C0FAD" w:rsidRPr="00106D3A">
        <w:rPr>
          <w:rFonts w:hint="cs"/>
          <w:sz w:val="24"/>
          <w:rtl/>
        </w:rPr>
        <w:t xml:space="preserve"> בהצעת החוקה של המכון לאסטרטגיה ציונית,</w:t>
      </w:r>
      <w:bookmarkStart w:id="32" w:name="_Ref365889970"/>
      <w:r w:rsidR="004030D7" w:rsidRPr="00106D3A">
        <w:rPr>
          <w:rStyle w:val="FootnoteReference"/>
          <w:sz w:val="24"/>
          <w:rtl/>
        </w:rPr>
        <w:footnoteReference w:id="67"/>
      </w:r>
      <w:bookmarkEnd w:id="32"/>
      <w:r w:rsidR="00BF31DD" w:rsidRPr="00106D3A">
        <w:rPr>
          <w:rFonts w:hint="cs"/>
          <w:sz w:val="24"/>
          <w:rtl/>
        </w:rPr>
        <w:t xml:space="preserve"> ואף בתזכיר</w:t>
      </w:r>
      <w:r w:rsidR="00AF645D" w:rsidRPr="00106D3A">
        <w:rPr>
          <w:rFonts w:hint="cs"/>
          <w:sz w:val="24"/>
          <w:rtl/>
        </w:rPr>
        <w:t xml:space="preserve"> חוק-יסוד: השפיטה (תיקון </w:t>
      </w:r>
      <w:r w:rsidR="00AF645D" w:rsidRPr="00106D3A">
        <w:rPr>
          <w:sz w:val="24"/>
          <w:rtl/>
        </w:rPr>
        <w:t>–</w:t>
      </w:r>
      <w:r w:rsidR="00AF645D" w:rsidRPr="00106D3A">
        <w:rPr>
          <w:rFonts w:hint="cs"/>
          <w:sz w:val="24"/>
          <w:rtl/>
        </w:rPr>
        <w:t xml:space="preserve"> ביקורת שיפוטית על תוקפם של חוקים) שפרסם משרד המשפטים ב-2007 </w:t>
      </w:r>
      <w:r w:rsidR="00AF645D" w:rsidRPr="00106D3A">
        <w:rPr>
          <w:rFonts w:hint="cs"/>
          <w:sz w:val="24"/>
          <w:rtl/>
        </w:rPr>
        <w:lastRenderedPageBreak/>
        <w:t>(תחת השר דניאל פרידמן)</w:t>
      </w:r>
      <w:r w:rsidR="00E91DFB" w:rsidRPr="00106D3A">
        <w:rPr>
          <w:rStyle w:val="FootnoteReference"/>
          <w:sz w:val="24"/>
          <w:rtl/>
        </w:rPr>
        <w:footnoteReference w:id="68"/>
      </w:r>
      <w:r w:rsidR="00AF645D" w:rsidRPr="00106D3A">
        <w:rPr>
          <w:rFonts w:hint="cs"/>
          <w:sz w:val="24"/>
          <w:rtl/>
        </w:rPr>
        <w:t xml:space="preserve"> ובתזכיר חוק-יסוד: החקיקה שפרסם המשרד ב-2012 (תחת השר יעקב נאמן).</w:t>
      </w:r>
      <w:r w:rsidR="00B02D5E" w:rsidRPr="00106D3A">
        <w:rPr>
          <w:rStyle w:val="FootnoteReference"/>
          <w:sz w:val="24"/>
          <w:rtl/>
        </w:rPr>
        <w:footnoteReference w:id="69"/>
      </w:r>
      <w:r w:rsidR="006C0FAD" w:rsidRPr="00106D3A">
        <w:rPr>
          <w:rFonts w:hint="cs"/>
          <w:sz w:val="24"/>
          <w:rtl/>
        </w:rPr>
        <w:t xml:space="preserve"> </w:t>
      </w:r>
      <w:r w:rsidR="00AA606C" w:rsidRPr="00106D3A">
        <w:rPr>
          <w:rFonts w:hint="cs"/>
          <w:sz w:val="24"/>
          <w:rtl/>
        </w:rPr>
        <w:t>אף שההצעות שונות בהקשרים רבים</w:t>
      </w:r>
      <w:r w:rsidR="00A33A49" w:rsidRPr="00106D3A">
        <w:rPr>
          <w:rFonts w:hint="cs"/>
          <w:sz w:val="24"/>
          <w:rtl/>
        </w:rPr>
        <w:t>,</w:t>
      </w:r>
      <w:r w:rsidR="00AA606C" w:rsidRPr="00106D3A">
        <w:rPr>
          <w:rFonts w:hint="cs"/>
          <w:sz w:val="24"/>
          <w:rtl/>
        </w:rPr>
        <w:t xml:space="preserve"> </w:t>
      </w:r>
      <w:r w:rsidR="00A33A49" w:rsidRPr="00106D3A">
        <w:rPr>
          <w:rFonts w:hint="cs"/>
          <w:sz w:val="24"/>
          <w:rtl/>
        </w:rPr>
        <w:t xml:space="preserve">כולל </w:t>
      </w:r>
      <w:r w:rsidR="009C031E" w:rsidRPr="00106D3A">
        <w:rPr>
          <w:rFonts w:hint="cs"/>
          <w:sz w:val="24"/>
          <w:rtl/>
        </w:rPr>
        <w:t>ב</w:t>
      </w:r>
      <w:r w:rsidR="00E538E1" w:rsidRPr="00106D3A">
        <w:rPr>
          <w:rFonts w:hint="cs"/>
          <w:sz w:val="24"/>
          <w:rtl/>
        </w:rPr>
        <w:t xml:space="preserve">מודל הביקורת השיפוטית </w:t>
      </w:r>
      <w:r w:rsidR="00AA606C" w:rsidRPr="00106D3A">
        <w:rPr>
          <w:rFonts w:hint="cs"/>
          <w:sz w:val="24"/>
          <w:rtl/>
        </w:rPr>
        <w:t>(למשל ב</w:t>
      </w:r>
      <w:r w:rsidR="0042193A" w:rsidRPr="00106D3A">
        <w:rPr>
          <w:rFonts w:hint="cs"/>
          <w:sz w:val="24"/>
          <w:rtl/>
        </w:rPr>
        <w:t>נוגע ל</w:t>
      </w:r>
      <w:r w:rsidR="00AA606C" w:rsidRPr="00106D3A">
        <w:rPr>
          <w:rFonts w:hint="cs"/>
          <w:sz w:val="24"/>
          <w:rtl/>
        </w:rPr>
        <w:t>אופיים של הסדרי ההתגברות</w:t>
      </w:r>
      <w:r w:rsidR="009C031E" w:rsidRPr="00106D3A">
        <w:rPr>
          <w:rFonts w:hint="cs"/>
          <w:sz w:val="24"/>
          <w:rtl/>
        </w:rPr>
        <w:t xml:space="preserve"> על ביטול חוק</w:t>
      </w:r>
      <w:r w:rsidR="00AA606C" w:rsidRPr="00106D3A">
        <w:rPr>
          <w:rFonts w:hint="cs"/>
          <w:sz w:val="24"/>
          <w:rtl/>
        </w:rPr>
        <w:t xml:space="preserve">), </w:t>
      </w:r>
      <w:r w:rsidR="00187A28" w:rsidRPr="00106D3A">
        <w:rPr>
          <w:rFonts w:hint="cs"/>
          <w:sz w:val="24"/>
          <w:rtl/>
        </w:rPr>
        <w:t xml:space="preserve">בכל </w:t>
      </w:r>
      <w:r w:rsidR="00E24FAB" w:rsidRPr="00106D3A">
        <w:rPr>
          <w:rFonts w:hint="cs"/>
          <w:sz w:val="24"/>
          <w:rtl/>
        </w:rPr>
        <w:t xml:space="preserve">חמש </w:t>
      </w:r>
      <w:r w:rsidR="00432BB4" w:rsidRPr="00106D3A">
        <w:rPr>
          <w:rFonts w:hint="cs"/>
          <w:sz w:val="24"/>
          <w:rtl/>
        </w:rPr>
        <w:t xml:space="preserve">הטיוטות מוצע להפקיד את </w:t>
      </w:r>
      <w:r w:rsidR="00187A28" w:rsidRPr="00106D3A">
        <w:rPr>
          <w:rFonts w:hint="cs"/>
          <w:sz w:val="24"/>
          <w:rtl/>
        </w:rPr>
        <w:t xml:space="preserve">סמכות הביקורת השיפוטית בידי בית </w:t>
      </w:r>
      <w:r w:rsidR="00AE3B7B" w:rsidRPr="00106D3A">
        <w:rPr>
          <w:rFonts w:hint="cs"/>
          <w:sz w:val="24"/>
          <w:rtl/>
        </w:rPr>
        <w:t>המשפט העליון, ש</w:t>
      </w:r>
      <w:r w:rsidR="005E24C6" w:rsidRPr="00106D3A">
        <w:rPr>
          <w:rFonts w:hint="cs"/>
          <w:sz w:val="24"/>
          <w:rtl/>
        </w:rPr>
        <w:t xml:space="preserve">ידון </w:t>
      </w:r>
      <w:r w:rsidR="00744EF7" w:rsidRPr="00106D3A">
        <w:rPr>
          <w:rFonts w:hint="cs"/>
          <w:sz w:val="24"/>
          <w:rtl/>
        </w:rPr>
        <w:t xml:space="preserve">בנושאים </w:t>
      </w:r>
      <w:r w:rsidR="005E24C6" w:rsidRPr="00106D3A">
        <w:rPr>
          <w:rFonts w:hint="cs"/>
          <w:sz w:val="24"/>
          <w:rtl/>
        </w:rPr>
        <w:t>חוקתי</w:t>
      </w:r>
      <w:r w:rsidR="00744EF7" w:rsidRPr="00106D3A">
        <w:rPr>
          <w:rFonts w:hint="cs"/>
          <w:sz w:val="24"/>
          <w:rtl/>
        </w:rPr>
        <w:t>ים</w:t>
      </w:r>
      <w:r w:rsidR="005E24C6" w:rsidRPr="00106D3A">
        <w:rPr>
          <w:rFonts w:hint="cs"/>
          <w:sz w:val="24"/>
          <w:rtl/>
        </w:rPr>
        <w:t xml:space="preserve"> בהרכב מורחב.</w:t>
      </w:r>
      <w:r w:rsidR="00367173" w:rsidRPr="00106D3A">
        <w:rPr>
          <w:rStyle w:val="FootnoteReference"/>
          <w:sz w:val="24"/>
          <w:rtl/>
        </w:rPr>
        <w:footnoteReference w:id="70"/>
      </w:r>
      <w:r w:rsidR="005E24C6" w:rsidRPr="00106D3A">
        <w:rPr>
          <w:rFonts w:hint="cs"/>
          <w:sz w:val="24"/>
          <w:rtl/>
        </w:rPr>
        <w:t xml:space="preserve"> </w:t>
      </w:r>
      <w:r w:rsidR="004803CF" w:rsidRPr="00106D3A">
        <w:rPr>
          <w:rFonts w:hint="cs"/>
          <w:sz w:val="24"/>
          <w:rtl/>
        </w:rPr>
        <w:t xml:space="preserve">החלופה הביזורית, כך נראה, </w:t>
      </w:r>
      <w:r w:rsidR="00A33A49" w:rsidRPr="00106D3A">
        <w:rPr>
          <w:rFonts w:hint="cs"/>
          <w:sz w:val="24"/>
          <w:rtl/>
        </w:rPr>
        <w:t xml:space="preserve">אינה חלק מהדמיון המוסדי של מעצבי החוקה הישראלית. </w:t>
      </w:r>
    </w:p>
    <w:p w:rsidR="00441875" w:rsidRPr="00106D3A" w:rsidRDefault="00441875" w:rsidP="002B40D5">
      <w:pPr>
        <w:ind w:firstLine="720"/>
        <w:jc w:val="both"/>
        <w:rPr>
          <w:sz w:val="24"/>
          <w:rtl/>
        </w:rPr>
      </w:pPr>
      <w:r w:rsidRPr="00106D3A">
        <w:rPr>
          <w:rFonts w:hint="cs"/>
          <w:sz w:val="24"/>
          <w:rtl/>
        </w:rPr>
        <w:t xml:space="preserve">לנגד עינינו מתגבשת אפוא </w:t>
      </w:r>
      <w:r w:rsidR="001A672D" w:rsidRPr="00106D3A">
        <w:rPr>
          <w:rFonts w:hint="cs"/>
          <w:sz w:val="24"/>
          <w:rtl/>
        </w:rPr>
        <w:t>קואליציה מסקרנת של כוחות מש</w:t>
      </w:r>
      <w:r w:rsidR="001F5FA2" w:rsidRPr="00106D3A">
        <w:rPr>
          <w:rFonts w:hint="cs"/>
          <w:sz w:val="24"/>
          <w:rtl/>
        </w:rPr>
        <w:t xml:space="preserve">פטיים, פוליטיים ואינטלקטואליים, המשתייכים למחנות מגוונים ולעתים אף </w:t>
      </w:r>
      <w:r w:rsidR="004F3157" w:rsidRPr="00106D3A">
        <w:rPr>
          <w:rFonts w:hint="cs"/>
          <w:sz w:val="24"/>
          <w:rtl/>
        </w:rPr>
        <w:t>מ</w:t>
      </w:r>
      <w:r w:rsidR="001F5FA2" w:rsidRPr="00106D3A">
        <w:rPr>
          <w:rFonts w:hint="cs"/>
          <w:sz w:val="24"/>
          <w:rtl/>
        </w:rPr>
        <w:t xml:space="preserve">נוגדים מבחינה אידיאולוגית ומקצועית, אשר תומכים כולם במודל ריכוזי של ביקורת שיפוטית לישראל. </w:t>
      </w:r>
      <w:r w:rsidR="00D57C9E" w:rsidRPr="00106D3A">
        <w:rPr>
          <w:rFonts w:hint="cs"/>
          <w:sz w:val="24"/>
          <w:rtl/>
        </w:rPr>
        <w:t>נראה שהמודל הריכוזי נתפס, מצד אחד</w:t>
      </w:r>
      <w:r w:rsidR="002607BD" w:rsidRPr="00106D3A">
        <w:rPr>
          <w:rFonts w:hint="cs"/>
          <w:sz w:val="24"/>
          <w:rtl/>
        </w:rPr>
        <w:t xml:space="preserve">, </w:t>
      </w:r>
      <w:r w:rsidR="00D57C9E" w:rsidRPr="00106D3A">
        <w:rPr>
          <w:rFonts w:hint="cs"/>
          <w:sz w:val="24"/>
          <w:rtl/>
        </w:rPr>
        <w:t>כאמצעי לתחוֹם את עוצמתה הסמכות השיפוטית</w:t>
      </w:r>
      <w:r w:rsidR="000C0EA7" w:rsidRPr="00106D3A">
        <w:rPr>
          <w:rFonts w:hint="cs"/>
          <w:sz w:val="24"/>
          <w:rtl/>
        </w:rPr>
        <w:t xml:space="preserve">: </w:t>
      </w:r>
      <w:r w:rsidR="00D57C9E" w:rsidRPr="00106D3A">
        <w:rPr>
          <w:rFonts w:hint="cs"/>
          <w:sz w:val="24"/>
          <w:rtl/>
        </w:rPr>
        <w:t xml:space="preserve">הגבלתה למוסד </w:t>
      </w:r>
      <w:r w:rsidR="009E5A4F" w:rsidRPr="00106D3A">
        <w:rPr>
          <w:rFonts w:hint="cs"/>
          <w:sz w:val="24"/>
          <w:rtl/>
        </w:rPr>
        <w:t xml:space="preserve">יחיד </w:t>
      </w:r>
      <w:r w:rsidR="00D57C9E" w:rsidRPr="00106D3A">
        <w:rPr>
          <w:rFonts w:hint="cs"/>
          <w:sz w:val="24"/>
          <w:rtl/>
        </w:rPr>
        <w:t xml:space="preserve">ולשופטים ספורים </w:t>
      </w:r>
      <w:r w:rsidR="000C0EA7" w:rsidRPr="00106D3A">
        <w:rPr>
          <w:rFonts w:hint="cs"/>
          <w:sz w:val="24"/>
          <w:rtl/>
        </w:rPr>
        <w:t>מאפשרת ריכ</w:t>
      </w:r>
      <w:r w:rsidR="009E5A4F" w:rsidRPr="00106D3A">
        <w:rPr>
          <w:rFonts w:hint="cs"/>
          <w:sz w:val="24"/>
          <w:rtl/>
        </w:rPr>
        <w:t>וז תשומת לב פוליטית מלאה בהליכי</w:t>
      </w:r>
      <w:r w:rsidR="000C0EA7" w:rsidRPr="00106D3A">
        <w:rPr>
          <w:rFonts w:hint="cs"/>
          <w:sz w:val="24"/>
          <w:rtl/>
        </w:rPr>
        <w:t xml:space="preserve"> </w:t>
      </w:r>
      <w:r w:rsidR="009E5A4F" w:rsidRPr="00106D3A">
        <w:rPr>
          <w:rFonts w:hint="cs"/>
          <w:sz w:val="24"/>
          <w:rtl/>
        </w:rPr>
        <w:t>ה</w:t>
      </w:r>
      <w:r w:rsidR="000C0EA7" w:rsidRPr="00106D3A">
        <w:rPr>
          <w:rFonts w:hint="cs"/>
          <w:sz w:val="24"/>
          <w:rtl/>
        </w:rPr>
        <w:t xml:space="preserve">מינוי הבודדים שישפיעו על </w:t>
      </w:r>
      <w:r w:rsidR="009E5A4F" w:rsidRPr="00106D3A">
        <w:rPr>
          <w:rFonts w:hint="cs"/>
          <w:sz w:val="24"/>
          <w:rtl/>
        </w:rPr>
        <w:t xml:space="preserve">פירוש החוקה, ואולי גם פיתוח של מאזן כוחות אסטרטגי בין שני מוסדות ממעמד דומה התובעים כיבוד הדדי. </w:t>
      </w:r>
      <w:r w:rsidR="000337DD" w:rsidRPr="00106D3A">
        <w:rPr>
          <w:rFonts w:hint="cs"/>
          <w:sz w:val="24"/>
          <w:rtl/>
        </w:rPr>
        <w:t xml:space="preserve">מצד שני, המודל הריכוזי </w:t>
      </w:r>
      <w:r w:rsidR="00814D12" w:rsidRPr="00106D3A">
        <w:rPr>
          <w:rFonts w:hint="cs"/>
          <w:sz w:val="24"/>
          <w:rtl/>
        </w:rPr>
        <w:t xml:space="preserve">מבטא עבור </w:t>
      </w:r>
      <w:r w:rsidR="000337DD" w:rsidRPr="00106D3A">
        <w:rPr>
          <w:rFonts w:hint="cs"/>
          <w:sz w:val="24"/>
          <w:rtl/>
        </w:rPr>
        <w:t>תומכי הסמכות השיפוטית הכ</w:t>
      </w:r>
      <w:r w:rsidR="00814D12" w:rsidRPr="00106D3A">
        <w:rPr>
          <w:rFonts w:hint="cs"/>
          <w:sz w:val="24"/>
          <w:rtl/>
        </w:rPr>
        <w:t>ר</w:t>
      </w:r>
      <w:r w:rsidR="0070317C" w:rsidRPr="00106D3A">
        <w:rPr>
          <w:rFonts w:hint="cs"/>
          <w:sz w:val="24"/>
          <w:rtl/>
        </w:rPr>
        <w:t xml:space="preserve">ה בחשיבותה של הביקורת השיפוטית ובמעמדו ההיסטורי של בית המשפט העליון </w:t>
      </w:r>
      <w:r w:rsidR="005436BB" w:rsidRPr="00106D3A">
        <w:rPr>
          <w:rFonts w:hint="cs"/>
          <w:sz w:val="24"/>
          <w:rtl/>
        </w:rPr>
        <w:t>כמוסד</w:t>
      </w:r>
      <w:r w:rsidR="00850677" w:rsidRPr="00106D3A">
        <w:rPr>
          <w:rFonts w:hint="cs"/>
          <w:sz w:val="24"/>
          <w:rtl/>
        </w:rPr>
        <w:t xml:space="preserve"> שפיתח אותה</w:t>
      </w:r>
      <w:r w:rsidR="005436BB" w:rsidRPr="00106D3A">
        <w:rPr>
          <w:rFonts w:hint="cs"/>
          <w:sz w:val="24"/>
          <w:rtl/>
        </w:rPr>
        <w:t xml:space="preserve">. בתווך, כמדומה, ניצבים אלה התומכים בחלופה </w:t>
      </w:r>
      <w:r w:rsidR="00850677" w:rsidRPr="00106D3A">
        <w:rPr>
          <w:rFonts w:hint="cs"/>
          <w:sz w:val="24"/>
          <w:rtl/>
        </w:rPr>
        <w:t xml:space="preserve">הריכוזית כפשרה מעשית בין הקצוות </w:t>
      </w:r>
      <w:r w:rsidR="00FE1E64" w:rsidRPr="00106D3A">
        <w:rPr>
          <w:rFonts w:hint="cs"/>
          <w:sz w:val="24"/>
          <w:rtl/>
        </w:rPr>
        <w:t xml:space="preserve">הנצים. </w:t>
      </w:r>
      <w:r w:rsidR="00C849AB" w:rsidRPr="00106D3A">
        <w:rPr>
          <w:rFonts w:hint="cs"/>
          <w:sz w:val="24"/>
          <w:rtl/>
        </w:rPr>
        <w:t xml:space="preserve">התוצאה היא קונסנזוס רחב בזכות הגמוניה פרשנית בסוגיות חוקתיות </w:t>
      </w:r>
      <w:r w:rsidR="002B40D5" w:rsidRPr="00106D3A">
        <w:rPr>
          <w:rFonts w:hint="cs"/>
          <w:sz w:val="24"/>
          <w:rtl/>
        </w:rPr>
        <w:t>לקבוצה קטנה ונישאת של שופטים, כשהמחלוקת הנותרת היא ביחס לתנאים המו</w:t>
      </w:r>
      <w:r w:rsidR="0027748B" w:rsidRPr="00106D3A">
        <w:rPr>
          <w:rFonts w:hint="cs"/>
          <w:sz w:val="24"/>
          <w:rtl/>
        </w:rPr>
        <w:t>סדיים בהם יפעלו (המינוי, ההרכב</w:t>
      </w:r>
      <w:r w:rsidR="002B40D5" w:rsidRPr="00106D3A">
        <w:rPr>
          <w:rFonts w:hint="cs"/>
          <w:sz w:val="24"/>
          <w:rtl/>
        </w:rPr>
        <w:t xml:space="preserve">, </w:t>
      </w:r>
      <w:r w:rsidR="0027748B" w:rsidRPr="00106D3A">
        <w:rPr>
          <w:rFonts w:hint="cs"/>
          <w:sz w:val="24"/>
          <w:rtl/>
        </w:rPr>
        <w:t>ו</w:t>
      </w:r>
      <w:r w:rsidR="002B40D5" w:rsidRPr="00106D3A">
        <w:rPr>
          <w:rFonts w:hint="cs"/>
          <w:sz w:val="24"/>
          <w:rtl/>
        </w:rPr>
        <w:t xml:space="preserve">הפרוצדורה). </w:t>
      </w:r>
    </w:p>
    <w:p w:rsidR="009C0861" w:rsidRPr="00106D3A" w:rsidRDefault="0093460C" w:rsidP="004C4073">
      <w:pPr>
        <w:ind w:firstLine="720"/>
        <w:jc w:val="both"/>
        <w:rPr>
          <w:sz w:val="24"/>
          <w:rtl/>
        </w:rPr>
      </w:pPr>
      <w:r w:rsidRPr="00106D3A">
        <w:rPr>
          <w:rFonts w:hint="cs"/>
          <w:sz w:val="24"/>
          <w:rtl/>
        </w:rPr>
        <w:t xml:space="preserve">בשדה עתיר המחלוקות של הפוליטיקה החוקתית הישראלית, ניתן אולי לברך על קיומה של פאה </w:t>
      </w:r>
      <w:r w:rsidR="005B26B4" w:rsidRPr="00106D3A">
        <w:rPr>
          <w:rFonts w:hint="cs"/>
          <w:sz w:val="24"/>
          <w:rtl/>
        </w:rPr>
        <w:t xml:space="preserve">קטנה לגביה מסתמנת הסכמה בין המחנות. אולם בחלק הבא אני מבקש לערער על תפיסה זו, ולעורר עניין חדש בפוטנציאל הגלום לדמוקרטיה הישראלית בהעדפתו של המודל הביזורי דווקא. </w:t>
      </w:r>
    </w:p>
    <w:p w:rsidR="004C4073" w:rsidRPr="00106D3A" w:rsidRDefault="004C4073" w:rsidP="004C4073">
      <w:pPr>
        <w:jc w:val="both"/>
        <w:rPr>
          <w:sz w:val="24"/>
          <w:rtl/>
        </w:rPr>
      </w:pPr>
    </w:p>
    <w:p w:rsidR="004C4073" w:rsidRPr="00106D3A" w:rsidRDefault="004C4073" w:rsidP="00827037">
      <w:pPr>
        <w:pStyle w:val="Heading1"/>
        <w:numPr>
          <w:ilvl w:val="0"/>
          <w:numId w:val="8"/>
        </w:numPr>
      </w:pPr>
      <w:bookmarkStart w:id="33" w:name="_Toc372223057"/>
      <w:r w:rsidRPr="00106D3A">
        <w:rPr>
          <w:rFonts w:hint="cs"/>
          <w:rtl/>
        </w:rPr>
        <w:t>הטיעון הדמוקרטי בזכות ביקורת שיפוטית ביזורית</w:t>
      </w:r>
      <w:bookmarkEnd w:id="33"/>
    </w:p>
    <w:p w:rsidR="00632243" w:rsidRPr="00106D3A" w:rsidRDefault="003B7D3B" w:rsidP="00D84DBC">
      <w:pPr>
        <w:ind w:firstLine="720"/>
        <w:jc w:val="both"/>
        <w:rPr>
          <w:sz w:val="24"/>
          <w:rtl/>
        </w:rPr>
      </w:pPr>
      <w:r w:rsidRPr="00106D3A">
        <w:rPr>
          <w:rFonts w:hint="cs"/>
          <w:sz w:val="24"/>
          <w:rtl/>
        </w:rPr>
        <w:t>בפרק</w:t>
      </w:r>
      <w:r w:rsidR="00632243" w:rsidRPr="00106D3A">
        <w:rPr>
          <w:rFonts w:hint="cs"/>
          <w:sz w:val="24"/>
          <w:rtl/>
        </w:rPr>
        <w:t xml:space="preserve"> זה אני מבקש לטעון שההתמקדות של השיח, הפרקטיקה והפוליטיקה החוקתיים בבית המשפט העליון כליבת הביקורת השיפוטית, מחמיצה את הפוטנציאל </w:t>
      </w:r>
      <w:r w:rsidR="00632243" w:rsidRPr="00106D3A">
        <w:rPr>
          <w:rFonts w:hint="cs"/>
          <w:b/>
          <w:bCs/>
          <w:sz w:val="24"/>
          <w:rtl/>
        </w:rPr>
        <w:t>העצמאי</w:t>
      </w:r>
      <w:r w:rsidR="00632243" w:rsidRPr="00106D3A">
        <w:rPr>
          <w:rFonts w:hint="cs"/>
          <w:sz w:val="24"/>
          <w:rtl/>
        </w:rPr>
        <w:t xml:space="preserve"> לקידום ערכים דמוקרטיים המצוי בליטיגציה חוקתית בערכאות הדיון. נדרש כאן "ניעור" מושגי מסוים: האתגר הוא להפסיק לחשוב על ערכאות הדיון כלא יותר מספקיות של שאלות חוקתיות לערכאה הריכוזית שמעליהן, בין בדרך של ערעור לבית המשפט העליון ובין בדרך של הפניה לבית משפט לחוקה. תחת זאת, אני מבקש להצביע על מאפיינים שהנם ייחודיים לשפיטה בערכאות הדיון </w:t>
      </w:r>
      <w:r w:rsidR="00632243" w:rsidRPr="00106D3A">
        <w:rPr>
          <w:sz w:val="24"/>
          <w:rtl/>
        </w:rPr>
        <w:t>–</w:t>
      </w:r>
      <w:r w:rsidR="00632243" w:rsidRPr="00106D3A">
        <w:rPr>
          <w:rFonts w:hint="cs"/>
          <w:sz w:val="24"/>
          <w:rtl/>
        </w:rPr>
        <w:t xml:space="preserve"> כלומר כאלה שלא ניתן לשחזרם בבית המשפט העליון </w:t>
      </w:r>
      <w:r w:rsidR="00632243" w:rsidRPr="00106D3A">
        <w:rPr>
          <w:sz w:val="24"/>
          <w:rtl/>
        </w:rPr>
        <w:t>–</w:t>
      </w:r>
      <w:r w:rsidR="00632243" w:rsidRPr="00106D3A">
        <w:rPr>
          <w:rFonts w:hint="cs"/>
          <w:sz w:val="24"/>
          <w:rtl/>
        </w:rPr>
        <w:t xml:space="preserve"> ואשר עשויים להיות רכיבים רצויים לתיאוריה דמוקרטית של ההליך החוקתי. </w:t>
      </w:r>
      <w:r w:rsidR="001C309C" w:rsidRPr="00106D3A">
        <w:rPr>
          <w:rFonts w:hint="cs"/>
          <w:sz w:val="24"/>
          <w:rtl/>
        </w:rPr>
        <w:t xml:space="preserve">אציג </w:t>
      </w:r>
      <w:r w:rsidR="00527509" w:rsidRPr="00106D3A">
        <w:rPr>
          <w:rFonts w:hint="cs"/>
          <w:sz w:val="24"/>
          <w:rtl/>
        </w:rPr>
        <w:t>תחילה את</w:t>
      </w:r>
      <w:r w:rsidR="001C309C" w:rsidRPr="00106D3A">
        <w:rPr>
          <w:rFonts w:hint="cs"/>
          <w:sz w:val="24"/>
          <w:rtl/>
        </w:rPr>
        <w:t xml:space="preserve"> עיקריה של תיאוריה כזו, ואחרי כן </w:t>
      </w:r>
      <w:r w:rsidR="00D84DBC" w:rsidRPr="00106D3A">
        <w:rPr>
          <w:rFonts w:hint="cs"/>
          <w:sz w:val="24"/>
          <w:rtl/>
        </w:rPr>
        <w:t xml:space="preserve">אבקש להראות </w:t>
      </w:r>
      <w:r w:rsidR="001C309C" w:rsidRPr="00106D3A">
        <w:rPr>
          <w:rFonts w:hint="cs"/>
          <w:sz w:val="24"/>
          <w:rtl/>
        </w:rPr>
        <w:t xml:space="preserve">כיצד התדיינות חוקתית בערכאות הדיון עשויה להלום אותה. </w:t>
      </w:r>
      <w:r w:rsidR="002C1626" w:rsidRPr="00106D3A">
        <w:rPr>
          <w:rFonts w:hint="cs"/>
          <w:sz w:val="24"/>
          <w:rtl/>
        </w:rPr>
        <w:t xml:space="preserve">לבסוף אטען שהמצב </w:t>
      </w:r>
      <w:r w:rsidR="009C34B3" w:rsidRPr="00106D3A">
        <w:rPr>
          <w:rFonts w:hint="cs"/>
          <w:sz w:val="24"/>
          <w:rtl/>
        </w:rPr>
        <w:t xml:space="preserve">החוקתי </w:t>
      </w:r>
      <w:r w:rsidR="002C1626" w:rsidRPr="00106D3A">
        <w:rPr>
          <w:rFonts w:hint="cs"/>
          <w:sz w:val="24"/>
          <w:rtl/>
        </w:rPr>
        <w:t xml:space="preserve">הישראלי עשוי להצדיק במיוחד פניה </w:t>
      </w:r>
      <w:r w:rsidR="009C34B3" w:rsidRPr="00106D3A">
        <w:rPr>
          <w:rFonts w:hint="cs"/>
          <w:sz w:val="24"/>
          <w:rtl/>
        </w:rPr>
        <w:t xml:space="preserve">דווקא </w:t>
      </w:r>
      <w:r w:rsidR="002C1626" w:rsidRPr="00106D3A">
        <w:rPr>
          <w:rFonts w:hint="cs"/>
          <w:sz w:val="24"/>
          <w:rtl/>
        </w:rPr>
        <w:t>למסלול הביזורי</w:t>
      </w:r>
      <w:r w:rsidR="009C34B3" w:rsidRPr="00106D3A">
        <w:rPr>
          <w:rFonts w:hint="cs"/>
          <w:sz w:val="24"/>
          <w:rtl/>
        </w:rPr>
        <w:t>, ולא רתיעה מפניו</w:t>
      </w:r>
      <w:r w:rsidR="002C1626" w:rsidRPr="00106D3A">
        <w:rPr>
          <w:rFonts w:hint="cs"/>
          <w:sz w:val="24"/>
          <w:rtl/>
        </w:rPr>
        <w:t xml:space="preserve">. </w:t>
      </w:r>
    </w:p>
    <w:p w:rsidR="00632243" w:rsidRPr="00106D3A" w:rsidRDefault="00632243" w:rsidP="004C4073">
      <w:pPr>
        <w:jc w:val="both"/>
        <w:rPr>
          <w:sz w:val="24"/>
          <w:rtl/>
        </w:rPr>
      </w:pPr>
    </w:p>
    <w:p w:rsidR="00416DA7" w:rsidRPr="00106D3A" w:rsidRDefault="00632243" w:rsidP="00D374A3">
      <w:pPr>
        <w:pStyle w:val="Heading2"/>
        <w:numPr>
          <w:ilvl w:val="0"/>
          <w:numId w:val="14"/>
        </w:numPr>
        <w:rPr>
          <w:rtl/>
        </w:rPr>
      </w:pPr>
      <w:bookmarkStart w:id="34" w:name="_Toc372223058"/>
      <w:r w:rsidRPr="00106D3A">
        <w:rPr>
          <w:rFonts w:hint="cs"/>
          <w:rtl/>
        </w:rPr>
        <w:t>תיאוריה דמוקרטית של ההליך החוקתי</w:t>
      </w:r>
      <w:bookmarkEnd w:id="34"/>
    </w:p>
    <w:p w:rsidR="00EC7A4F" w:rsidRPr="00106D3A" w:rsidRDefault="00C340E2" w:rsidP="008443A0">
      <w:pPr>
        <w:ind w:firstLine="720"/>
        <w:jc w:val="both"/>
        <w:rPr>
          <w:sz w:val="24"/>
          <w:rtl/>
        </w:rPr>
      </w:pPr>
      <w:r w:rsidRPr="00106D3A">
        <w:rPr>
          <w:rFonts w:hint="cs"/>
          <w:sz w:val="24"/>
          <w:rtl/>
        </w:rPr>
        <w:t xml:space="preserve">תפיסות דמוקרטיות של ההליך החוקתי </w:t>
      </w:r>
      <w:r w:rsidR="004F4BA7" w:rsidRPr="00106D3A">
        <w:rPr>
          <w:rFonts w:hint="cs"/>
          <w:sz w:val="24"/>
          <w:rtl/>
        </w:rPr>
        <w:t>מתמקדות ב</w:t>
      </w:r>
      <w:r w:rsidRPr="00106D3A">
        <w:rPr>
          <w:rFonts w:hint="cs"/>
          <w:sz w:val="24"/>
          <w:rtl/>
        </w:rPr>
        <w:t>חשיבותו של תהליך היצירה של נורמות חוקתיות</w:t>
      </w:r>
      <w:r w:rsidR="004F4BA7" w:rsidRPr="00106D3A">
        <w:rPr>
          <w:rFonts w:hint="cs"/>
          <w:sz w:val="24"/>
          <w:rtl/>
        </w:rPr>
        <w:t>,</w:t>
      </w:r>
      <w:r w:rsidRPr="00106D3A">
        <w:rPr>
          <w:rFonts w:hint="cs"/>
          <w:sz w:val="24"/>
          <w:rtl/>
        </w:rPr>
        <w:t xml:space="preserve"> לא פחות מאשר </w:t>
      </w:r>
      <w:r w:rsidR="004F4BA7" w:rsidRPr="00106D3A">
        <w:rPr>
          <w:rFonts w:hint="cs"/>
          <w:sz w:val="24"/>
          <w:rtl/>
        </w:rPr>
        <w:t>ב</w:t>
      </w:r>
      <w:r w:rsidRPr="00106D3A">
        <w:rPr>
          <w:rFonts w:hint="cs"/>
          <w:sz w:val="24"/>
          <w:rtl/>
        </w:rPr>
        <w:t>תוכנן הסופי של הנורמות המגובשות.</w:t>
      </w:r>
      <w:r w:rsidR="002F082F" w:rsidRPr="00106D3A">
        <w:rPr>
          <w:rFonts w:hint="cs"/>
          <w:sz w:val="24"/>
          <w:rtl/>
        </w:rPr>
        <w:t xml:space="preserve"> מנקודת מבט זו ההוויה </w:t>
      </w:r>
      <w:r w:rsidR="002F082F" w:rsidRPr="00106D3A">
        <w:rPr>
          <w:rFonts w:hint="cs"/>
          <w:sz w:val="24"/>
          <w:rtl/>
        </w:rPr>
        <w:lastRenderedPageBreak/>
        <w:t xml:space="preserve">החוקתית של מדינה דמוקרטית היא עניין דינמי, שראוי שיעסיק את הציבור באופן מתמשך. גם אם בכל </w:t>
      </w:r>
      <w:r w:rsidR="00BC56AB" w:rsidRPr="00106D3A">
        <w:rPr>
          <w:rFonts w:hint="cs"/>
          <w:sz w:val="24"/>
          <w:rtl/>
        </w:rPr>
        <w:t xml:space="preserve">רגע </w:t>
      </w:r>
      <w:r w:rsidR="002F082F" w:rsidRPr="00106D3A">
        <w:rPr>
          <w:rFonts w:hint="cs"/>
          <w:sz w:val="24"/>
          <w:rtl/>
        </w:rPr>
        <w:t>נתון החוקה מספקת יציבות באמצעות צמצום מרחב התמרון הדמוקרטי-רובני של ציבור מקרי</w:t>
      </w:r>
      <w:r w:rsidR="00C15CEE" w:rsidRPr="00106D3A">
        <w:rPr>
          <w:rFonts w:hint="cs"/>
          <w:sz w:val="24"/>
          <w:rtl/>
        </w:rPr>
        <w:t xml:space="preserve"> (ולמעשה של נציגיו הנבחרים)</w:t>
      </w:r>
      <w:r w:rsidR="002F082F" w:rsidRPr="00106D3A">
        <w:rPr>
          <w:rFonts w:hint="cs"/>
          <w:sz w:val="24"/>
          <w:rtl/>
        </w:rPr>
        <w:t>,</w:t>
      </w:r>
      <w:r w:rsidR="00CD3923" w:rsidRPr="00106D3A">
        <w:rPr>
          <w:rStyle w:val="FootnoteReference"/>
          <w:sz w:val="24"/>
          <w:rtl/>
        </w:rPr>
        <w:footnoteReference w:id="71"/>
      </w:r>
      <w:r w:rsidR="002F082F" w:rsidRPr="00106D3A">
        <w:rPr>
          <w:rFonts w:hint="cs"/>
          <w:sz w:val="24"/>
          <w:rtl/>
        </w:rPr>
        <w:t xml:space="preserve"> הרי שלאורך זמן </w:t>
      </w:r>
      <w:r w:rsidR="000908BB" w:rsidRPr="00106D3A">
        <w:rPr>
          <w:rFonts w:hint="cs"/>
          <w:sz w:val="24"/>
          <w:rtl/>
        </w:rPr>
        <w:t>גישות דמוקרטיות לרעיון החוקה שואפות ש</w:t>
      </w:r>
      <w:r w:rsidR="000D2A4C" w:rsidRPr="00106D3A">
        <w:rPr>
          <w:rFonts w:hint="cs"/>
          <w:sz w:val="24"/>
          <w:rtl/>
        </w:rPr>
        <w:t>ההסדרים היסודיים המכוננים את הקהילה הפוליטית יהיו</w:t>
      </w:r>
      <w:r w:rsidR="00BC56AB" w:rsidRPr="00106D3A">
        <w:rPr>
          <w:rFonts w:hint="cs"/>
          <w:sz w:val="24"/>
          <w:rtl/>
        </w:rPr>
        <w:t xml:space="preserve"> פתוחים לעיון, לביקורת, להתדיינות ולעדכון לאור ההתפתחויות במצבה של הקהילה </w:t>
      </w:r>
      <w:r w:rsidR="00BC56AB" w:rsidRPr="00106D3A">
        <w:rPr>
          <w:sz w:val="24"/>
          <w:rtl/>
        </w:rPr>
        <w:t>–</w:t>
      </w:r>
      <w:r w:rsidR="00BC56AB" w:rsidRPr="00106D3A">
        <w:rPr>
          <w:rFonts w:hint="cs"/>
          <w:sz w:val="24"/>
          <w:rtl/>
        </w:rPr>
        <w:t xml:space="preserve"> שינויים </w:t>
      </w:r>
      <w:r w:rsidR="00721BC1" w:rsidRPr="00106D3A">
        <w:rPr>
          <w:rFonts w:hint="cs"/>
          <w:sz w:val="24"/>
          <w:rtl/>
        </w:rPr>
        <w:t xml:space="preserve">דמוגרפיים, תרבותיים או </w:t>
      </w:r>
      <w:r w:rsidR="00BC56AB" w:rsidRPr="00106D3A">
        <w:rPr>
          <w:rFonts w:hint="cs"/>
          <w:sz w:val="24"/>
          <w:rtl/>
        </w:rPr>
        <w:t xml:space="preserve">כלכליים, פיתוח של טעמים מוסריים חדשים, הכרה </w:t>
      </w:r>
      <w:r w:rsidR="004C302F" w:rsidRPr="00106D3A">
        <w:rPr>
          <w:rFonts w:hint="cs"/>
          <w:sz w:val="24"/>
          <w:rtl/>
        </w:rPr>
        <w:t xml:space="preserve">במערכות טיעונים חדשות או בנשאים חדשים של זכויות או חובות. </w:t>
      </w:r>
      <w:r w:rsidR="00442792" w:rsidRPr="00106D3A">
        <w:rPr>
          <w:rFonts w:hint="cs"/>
          <w:sz w:val="24"/>
          <w:rtl/>
        </w:rPr>
        <w:t>החשש מפני התקבעות</w:t>
      </w:r>
      <w:r w:rsidR="00B646A7" w:rsidRPr="00106D3A">
        <w:rPr>
          <w:rFonts w:hint="cs"/>
          <w:sz w:val="24"/>
          <w:rtl/>
        </w:rPr>
        <w:t>-יתר</w:t>
      </w:r>
      <w:r w:rsidR="00442792" w:rsidRPr="00106D3A">
        <w:rPr>
          <w:rFonts w:hint="cs"/>
          <w:sz w:val="24"/>
          <w:rtl/>
        </w:rPr>
        <w:t xml:space="preserve"> של ה</w:t>
      </w:r>
      <w:r w:rsidR="00E31D36" w:rsidRPr="00106D3A">
        <w:rPr>
          <w:rFonts w:hint="cs"/>
          <w:sz w:val="24"/>
          <w:rtl/>
        </w:rPr>
        <w:t>ֶ</w:t>
      </w:r>
      <w:r w:rsidR="00442792" w:rsidRPr="00106D3A">
        <w:rPr>
          <w:rFonts w:hint="cs"/>
          <w:sz w:val="24"/>
          <w:rtl/>
        </w:rPr>
        <w:t xml:space="preserve">סדר חוקתי </w:t>
      </w:r>
      <w:r w:rsidR="00B646A7" w:rsidRPr="00106D3A">
        <w:rPr>
          <w:rFonts w:hint="cs"/>
          <w:sz w:val="24"/>
          <w:rtl/>
        </w:rPr>
        <w:t xml:space="preserve">המנציח </w:t>
      </w:r>
      <w:r w:rsidR="00E31D36" w:rsidRPr="00106D3A">
        <w:rPr>
          <w:rFonts w:hint="cs"/>
          <w:sz w:val="24"/>
          <w:rtl/>
        </w:rPr>
        <w:t>יחסי</w:t>
      </w:r>
      <w:r w:rsidR="00B646A7" w:rsidRPr="00106D3A">
        <w:rPr>
          <w:rFonts w:hint="cs"/>
          <w:sz w:val="24"/>
          <w:rtl/>
        </w:rPr>
        <w:t xml:space="preserve"> כוח </w:t>
      </w:r>
      <w:r w:rsidR="00E31D36" w:rsidRPr="00106D3A">
        <w:rPr>
          <w:rFonts w:hint="cs"/>
          <w:sz w:val="24"/>
          <w:rtl/>
        </w:rPr>
        <w:t xml:space="preserve">מסוימים </w:t>
      </w:r>
      <w:r w:rsidR="00DB443D" w:rsidRPr="00106D3A">
        <w:rPr>
          <w:rFonts w:hint="cs"/>
          <w:sz w:val="24"/>
          <w:rtl/>
        </w:rPr>
        <w:t xml:space="preserve">מצדיק בראיה זו </w:t>
      </w:r>
      <w:r w:rsidR="002671A7" w:rsidRPr="00106D3A">
        <w:rPr>
          <w:rFonts w:hint="cs"/>
          <w:sz w:val="24"/>
          <w:rtl/>
        </w:rPr>
        <w:t>מיסו</w:t>
      </w:r>
      <w:r w:rsidR="00B646A7" w:rsidRPr="00106D3A">
        <w:rPr>
          <w:rFonts w:hint="cs"/>
          <w:sz w:val="24"/>
          <w:rtl/>
        </w:rPr>
        <w:t>ּ</w:t>
      </w:r>
      <w:r w:rsidR="002671A7" w:rsidRPr="00106D3A">
        <w:rPr>
          <w:rFonts w:hint="cs"/>
          <w:sz w:val="24"/>
          <w:rtl/>
        </w:rPr>
        <w:t xml:space="preserve">ד של רכיבים מערערי-סדר </w:t>
      </w:r>
      <w:r w:rsidR="00B646A7" w:rsidRPr="00106D3A">
        <w:rPr>
          <w:rFonts w:hint="cs"/>
          <w:sz w:val="24"/>
          <w:rtl/>
        </w:rPr>
        <w:t xml:space="preserve">בהליך החוקתי עצמו, כך שהוא </w:t>
      </w:r>
      <w:proofErr w:type="spellStart"/>
      <w:r w:rsidR="00B646A7" w:rsidRPr="00106D3A">
        <w:rPr>
          <w:rFonts w:hint="cs"/>
          <w:sz w:val="24"/>
          <w:rtl/>
        </w:rPr>
        <w:t>ינביע</w:t>
      </w:r>
      <w:proofErr w:type="spellEnd"/>
      <w:r w:rsidR="00B646A7" w:rsidRPr="00106D3A">
        <w:rPr>
          <w:rFonts w:hint="cs"/>
          <w:sz w:val="24"/>
          <w:rtl/>
        </w:rPr>
        <w:t xml:space="preserve"> מתוך עצמו אפשרויות </w:t>
      </w:r>
      <w:proofErr w:type="spellStart"/>
      <w:r w:rsidR="00B646A7" w:rsidRPr="00106D3A">
        <w:rPr>
          <w:rFonts w:hint="cs"/>
          <w:sz w:val="24"/>
          <w:rtl/>
        </w:rPr>
        <w:t>לנסיינות</w:t>
      </w:r>
      <w:proofErr w:type="spellEnd"/>
      <w:r w:rsidR="00B646A7" w:rsidRPr="00106D3A">
        <w:rPr>
          <w:rFonts w:hint="cs"/>
          <w:sz w:val="24"/>
          <w:rtl/>
        </w:rPr>
        <w:t xml:space="preserve"> ולחדשנות</w:t>
      </w:r>
      <w:r w:rsidR="008443A0" w:rsidRPr="00106D3A">
        <w:rPr>
          <w:rFonts w:hint="cs"/>
          <w:sz w:val="24"/>
          <w:rtl/>
        </w:rPr>
        <w:t xml:space="preserve"> במבנה החוקתי</w:t>
      </w:r>
      <w:r w:rsidR="00B646A7" w:rsidRPr="00106D3A">
        <w:rPr>
          <w:rFonts w:hint="cs"/>
          <w:sz w:val="24"/>
          <w:rtl/>
        </w:rPr>
        <w:t>.</w:t>
      </w:r>
      <w:bookmarkStart w:id="35" w:name="_Ref373312042"/>
      <w:r w:rsidR="00526FF6" w:rsidRPr="00106D3A">
        <w:rPr>
          <w:rStyle w:val="FootnoteReference"/>
          <w:sz w:val="24"/>
          <w:rtl/>
        </w:rPr>
        <w:footnoteReference w:id="72"/>
      </w:r>
      <w:bookmarkEnd w:id="35"/>
      <w:r w:rsidR="00B646A7" w:rsidRPr="00106D3A">
        <w:rPr>
          <w:rFonts w:hint="cs"/>
          <w:sz w:val="24"/>
          <w:rtl/>
        </w:rPr>
        <w:t xml:space="preserve"> </w:t>
      </w:r>
    </w:p>
    <w:p w:rsidR="006B4A66" w:rsidRPr="00106D3A" w:rsidRDefault="004C49D0" w:rsidP="00BF6FB1">
      <w:pPr>
        <w:ind w:firstLine="720"/>
        <w:jc w:val="both"/>
        <w:rPr>
          <w:sz w:val="24"/>
          <w:rtl/>
        </w:rPr>
      </w:pPr>
      <w:r w:rsidRPr="00106D3A">
        <w:rPr>
          <w:rFonts w:hint="cs"/>
          <w:sz w:val="24"/>
          <w:rtl/>
        </w:rPr>
        <w:t>בה בעת, תפיסות דמוקרטיות של ההליך החוקתי רואות חשיבות בהשתתפות נמשכת של חברים רבים בקהילה הפוליטית בשיח אודות תוכנן הרצוי של נורמות חוקתיות</w:t>
      </w:r>
      <w:r w:rsidR="00DB68FC" w:rsidRPr="00106D3A">
        <w:rPr>
          <w:rFonts w:hint="cs"/>
          <w:sz w:val="24"/>
          <w:rtl/>
        </w:rPr>
        <w:t xml:space="preserve"> עתידיות</w:t>
      </w:r>
      <w:r w:rsidR="004E6BEF" w:rsidRPr="00106D3A">
        <w:rPr>
          <w:rFonts w:hint="cs"/>
          <w:sz w:val="24"/>
          <w:rtl/>
        </w:rPr>
        <w:t>, ואודות פירושן הנכון של נורמות חוקתיות קיימות</w:t>
      </w:r>
      <w:r w:rsidRPr="00106D3A">
        <w:rPr>
          <w:rFonts w:hint="cs"/>
          <w:sz w:val="24"/>
          <w:rtl/>
        </w:rPr>
        <w:t xml:space="preserve">. </w:t>
      </w:r>
      <w:r w:rsidR="00BF6FB1">
        <w:rPr>
          <w:rFonts w:hint="cs"/>
          <w:sz w:val="24"/>
          <w:rtl/>
        </w:rPr>
        <w:t>ב</w:t>
      </w:r>
      <w:r w:rsidR="001C3545" w:rsidRPr="00106D3A">
        <w:rPr>
          <w:rFonts w:hint="cs"/>
          <w:sz w:val="24"/>
          <w:rtl/>
        </w:rPr>
        <w:t>ראיה זו (</w:t>
      </w:r>
      <w:r w:rsidR="00025FDC" w:rsidRPr="00106D3A">
        <w:rPr>
          <w:rFonts w:hint="cs"/>
          <w:sz w:val="24"/>
          <w:rtl/>
        </w:rPr>
        <w:t>היונקת</w:t>
      </w:r>
      <w:r w:rsidR="001C3545" w:rsidRPr="00106D3A">
        <w:rPr>
          <w:rFonts w:hint="cs"/>
          <w:sz w:val="24"/>
          <w:rtl/>
        </w:rPr>
        <w:t xml:space="preserve"> מן המסורת הפוליטית הרפובליקנית), </w:t>
      </w:r>
      <w:r w:rsidR="00BF6FB1">
        <w:rPr>
          <w:rFonts w:hint="cs"/>
          <w:sz w:val="24"/>
          <w:rtl/>
        </w:rPr>
        <w:t xml:space="preserve">האזרחות </w:t>
      </w:r>
      <w:r w:rsidR="001C3545" w:rsidRPr="00106D3A">
        <w:rPr>
          <w:rFonts w:hint="cs"/>
          <w:sz w:val="24"/>
          <w:rtl/>
        </w:rPr>
        <w:t>אינה מתמצה בציות לחוק ובהצבעה עתית בבחירות</w:t>
      </w:r>
      <w:r w:rsidR="00632243" w:rsidRPr="00106D3A">
        <w:rPr>
          <w:rFonts w:hint="cs"/>
          <w:sz w:val="24"/>
          <w:rtl/>
        </w:rPr>
        <w:t xml:space="preserve">, אלא נמדדת גם במידת המעורבות הנמשכת של </w:t>
      </w:r>
      <w:r w:rsidR="002B3209" w:rsidRPr="00106D3A">
        <w:rPr>
          <w:rFonts w:hint="cs"/>
          <w:sz w:val="24"/>
          <w:rtl/>
        </w:rPr>
        <w:t xml:space="preserve">היחיד </w:t>
      </w:r>
      <w:r w:rsidR="00325AA8" w:rsidRPr="00106D3A">
        <w:rPr>
          <w:rFonts w:hint="cs"/>
          <w:sz w:val="24"/>
          <w:rtl/>
        </w:rPr>
        <w:t xml:space="preserve">בבירור </w:t>
      </w:r>
      <w:r w:rsidR="00F45040" w:rsidRPr="00106D3A">
        <w:rPr>
          <w:rFonts w:hint="cs"/>
          <w:sz w:val="24"/>
          <w:rtl/>
        </w:rPr>
        <w:t xml:space="preserve">ערכיה </w:t>
      </w:r>
      <w:r w:rsidR="00325AA8" w:rsidRPr="00106D3A">
        <w:rPr>
          <w:rFonts w:hint="cs"/>
          <w:sz w:val="24"/>
          <w:rtl/>
        </w:rPr>
        <w:t>של הקהילה ובהשפעה עליהם, ובקיומה של תודעה אזרחית</w:t>
      </w:r>
      <w:r w:rsidR="00AD179B" w:rsidRPr="00106D3A">
        <w:rPr>
          <w:rFonts w:hint="cs"/>
          <w:sz w:val="24"/>
          <w:rtl/>
        </w:rPr>
        <w:t>-דמוקרטית ערה</w:t>
      </w:r>
      <w:r w:rsidR="00F45040" w:rsidRPr="00106D3A">
        <w:rPr>
          <w:rFonts w:hint="cs"/>
          <w:sz w:val="24"/>
          <w:rtl/>
        </w:rPr>
        <w:t xml:space="preserve"> ביחס לתהליכים הפוליטיים המתנהלים בה</w:t>
      </w:r>
      <w:r w:rsidR="00AD179B" w:rsidRPr="00106D3A">
        <w:rPr>
          <w:rFonts w:hint="cs"/>
          <w:sz w:val="24"/>
          <w:rtl/>
        </w:rPr>
        <w:t xml:space="preserve">. </w:t>
      </w:r>
      <w:r w:rsidR="0094637F" w:rsidRPr="00106D3A">
        <w:rPr>
          <w:rFonts w:hint="cs"/>
          <w:sz w:val="24"/>
          <w:rtl/>
        </w:rPr>
        <w:t>השלטון העצמי בתפיסה זו אינו רק נתון משפטי</w:t>
      </w:r>
      <w:r w:rsidR="002B3209" w:rsidRPr="00106D3A">
        <w:rPr>
          <w:rFonts w:hint="cs"/>
          <w:sz w:val="24"/>
          <w:rtl/>
        </w:rPr>
        <w:t>-מוסדי</w:t>
      </w:r>
      <w:r w:rsidR="0094637F" w:rsidRPr="00106D3A">
        <w:rPr>
          <w:rFonts w:hint="cs"/>
          <w:sz w:val="24"/>
          <w:rtl/>
        </w:rPr>
        <w:t xml:space="preserve">, אלא </w:t>
      </w:r>
      <w:r w:rsidR="00297E61" w:rsidRPr="00106D3A">
        <w:rPr>
          <w:rFonts w:hint="cs"/>
          <w:sz w:val="24"/>
          <w:rtl/>
        </w:rPr>
        <w:t xml:space="preserve">מצב תודעתי </w:t>
      </w:r>
      <w:r w:rsidR="00297E61" w:rsidRPr="00106D3A">
        <w:rPr>
          <w:sz w:val="24"/>
          <w:rtl/>
        </w:rPr>
        <w:t>–</w:t>
      </w:r>
      <w:r w:rsidR="00297E61" w:rsidRPr="00106D3A">
        <w:rPr>
          <w:rFonts w:hint="cs"/>
          <w:sz w:val="24"/>
          <w:rtl/>
        </w:rPr>
        <w:t xml:space="preserve"> בעל יסודות רציונ</w:t>
      </w:r>
      <w:r w:rsidR="00F5518C" w:rsidRPr="00106D3A">
        <w:rPr>
          <w:rFonts w:hint="cs"/>
          <w:sz w:val="24"/>
          <w:rtl/>
        </w:rPr>
        <w:t>א</w:t>
      </w:r>
      <w:r w:rsidR="00297E61" w:rsidRPr="00106D3A">
        <w:rPr>
          <w:rFonts w:hint="cs"/>
          <w:sz w:val="24"/>
          <w:rtl/>
        </w:rPr>
        <w:t xml:space="preserve">ליים ורגשיים </w:t>
      </w:r>
      <w:r w:rsidR="00297E61" w:rsidRPr="00106D3A">
        <w:rPr>
          <w:sz w:val="24"/>
          <w:rtl/>
        </w:rPr>
        <w:t>–</w:t>
      </w:r>
      <w:r w:rsidR="00297E61" w:rsidRPr="00106D3A">
        <w:rPr>
          <w:rFonts w:hint="cs"/>
          <w:sz w:val="24"/>
          <w:rtl/>
        </w:rPr>
        <w:t xml:space="preserve"> </w:t>
      </w:r>
      <w:r w:rsidR="00FD1390" w:rsidRPr="00106D3A">
        <w:rPr>
          <w:rFonts w:hint="cs"/>
          <w:sz w:val="24"/>
          <w:rtl/>
        </w:rPr>
        <w:t>המשותף לכל חברי הקהילה.</w:t>
      </w:r>
      <w:r w:rsidR="00195CB7">
        <w:rPr>
          <w:rStyle w:val="FootnoteReference"/>
          <w:sz w:val="24"/>
          <w:rtl/>
        </w:rPr>
        <w:footnoteReference w:id="73"/>
      </w:r>
      <w:r w:rsidR="00FD1390" w:rsidRPr="00106D3A">
        <w:rPr>
          <w:rFonts w:hint="cs"/>
          <w:sz w:val="24"/>
          <w:rtl/>
        </w:rPr>
        <w:t xml:space="preserve"> </w:t>
      </w:r>
      <w:r w:rsidR="005266C4" w:rsidRPr="00106D3A">
        <w:rPr>
          <w:rFonts w:hint="cs"/>
          <w:sz w:val="24"/>
          <w:rtl/>
        </w:rPr>
        <w:t xml:space="preserve">גישות </w:t>
      </w:r>
      <w:proofErr w:type="spellStart"/>
      <w:r w:rsidR="005266C4" w:rsidRPr="00106D3A">
        <w:rPr>
          <w:rFonts w:hint="cs"/>
          <w:sz w:val="24"/>
          <w:rtl/>
        </w:rPr>
        <w:t>השתתפו</w:t>
      </w:r>
      <w:r w:rsidR="008E27E9">
        <w:rPr>
          <w:rFonts w:hint="cs"/>
          <w:sz w:val="24"/>
          <w:rtl/>
        </w:rPr>
        <w:t>ת</w:t>
      </w:r>
      <w:r w:rsidR="005266C4" w:rsidRPr="00106D3A">
        <w:rPr>
          <w:rFonts w:hint="cs"/>
          <w:sz w:val="24"/>
          <w:rtl/>
        </w:rPr>
        <w:t>יות</w:t>
      </w:r>
      <w:proofErr w:type="spellEnd"/>
      <w:r w:rsidR="005266C4" w:rsidRPr="00106D3A">
        <w:rPr>
          <w:rFonts w:hint="cs"/>
          <w:sz w:val="24"/>
          <w:rtl/>
        </w:rPr>
        <w:t xml:space="preserve"> </w:t>
      </w:r>
      <w:r w:rsidR="00D32508" w:rsidRPr="00106D3A">
        <w:rPr>
          <w:rFonts w:hint="cs"/>
          <w:sz w:val="24"/>
          <w:rtl/>
        </w:rPr>
        <w:t xml:space="preserve">כאלה </w:t>
      </w:r>
      <w:r w:rsidR="00A75E51" w:rsidRPr="00106D3A">
        <w:rPr>
          <w:rFonts w:hint="cs"/>
          <w:sz w:val="24"/>
          <w:rtl/>
        </w:rPr>
        <w:t xml:space="preserve">חושדות בהסדרים אשר מותירים את עיצוב </w:t>
      </w:r>
      <w:r w:rsidR="00DA5662" w:rsidRPr="00106D3A">
        <w:rPr>
          <w:rFonts w:hint="cs"/>
          <w:sz w:val="24"/>
          <w:rtl/>
        </w:rPr>
        <w:t xml:space="preserve">הספֵירה הציבורית </w:t>
      </w:r>
      <w:r w:rsidR="00A75E51" w:rsidRPr="00106D3A">
        <w:rPr>
          <w:rFonts w:hint="cs"/>
          <w:sz w:val="24"/>
          <w:rtl/>
        </w:rPr>
        <w:t xml:space="preserve">בידי אליטות מוסדיות, תרבותיות, או כלכליות. הן </w:t>
      </w:r>
      <w:r w:rsidR="005266C4" w:rsidRPr="00106D3A">
        <w:rPr>
          <w:rFonts w:hint="cs"/>
          <w:sz w:val="24"/>
          <w:rtl/>
        </w:rPr>
        <w:t xml:space="preserve">דוגלות במעורבות אזרחית </w:t>
      </w:r>
      <w:r w:rsidR="00E43A13" w:rsidRPr="00106D3A">
        <w:rPr>
          <w:rFonts w:hint="cs"/>
          <w:sz w:val="24"/>
          <w:rtl/>
        </w:rPr>
        <w:t>ב</w:t>
      </w:r>
      <w:r w:rsidR="005266C4" w:rsidRPr="00106D3A">
        <w:rPr>
          <w:rFonts w:hint="cs"/>
          <w:sz w:val="24"/>
          <w:rtl/>
        </w:rPr>
        <w:t>כלל</w:t>
      </w:r>
      <w:r w:rsidR="00A75E51" w:rsidRPr="00106D3A">
        <w:rPr>
          <w:rFonts w:hint="cs"/>
          <w:sz w:val="24"/>
          <w:rtl/>
        </w:rPr>
        <w:t>;</w:t>
      </w:r>
      <w:r w:rsidR="005266C4" w:rsidRPr="00106D3A">
        <w:rPr>
          <w:rFonts w:hint="cs"/>
          <w:sz w:val="24"/>
          <w:rtl/>
        </w:rPr>
        <w:t xml:space="preserve"> </w:t>
      </w:r>
      <w:r w:rsidR="003A5C85" w:rsidRPr="00106D3A">
        <w:rPr>
          <w:rFonts w:hint="cs"/>
          <w:sz w:val="24"/>
          <w:rtl/>
        </w:rPr>
        <w:t xml:space="preserve">אך יש להן עניין מיוחד </w:t>
      </w:r>
      <w:r w:rsidR="00E43A13" w:rsidRPr="00106D3A">
        <w:rPr>
          <w:rFonts w:hint="cs"/>
          <w:sz w:val="24"/>
          <w:rtl/>
        </w:rPr>
        <w:t xml:space="preserve">בחלקו של הפרט בעיצוב הערכים החוקתיים, </w:t>
      </w:r>
      <w:r w:rsidR="003A5C85" w:rsidRPr="00106D3A">
        <w:rPr>
          <w:rFonts w:hint="cs"/>
          <w:sz w:val="24"/>
          <w:rtl/>
        </w:rPr>
        <w:t xml:space="preserve">שמהם ניזונות כל יתר המערכות הציבוריות. </w:t>
      </w:r>
      <w:r w:rsidR="00DA5662" w:rsidRPr="00106D3A">
        <w:rPr>
          <w:rFonts w:hint="cs"/>
          <w:sz w:val="24"/>
          <w:rtl/>
        </w:rPr>
        <w:t xml:space="preserve">כדי לממש את חזונן הדמוקרטי, גישות כאלה </w:t>
      </w:r>
      <w:r w:rsidR="006B4A66" w:rsidRPr="00106D3A">
        <w:rPr>
          <w:rFonts w:hint="cs"/>
          <w:sz w:val="24"/>
          <w:rtl/>
        </w:rPr>
        <w:t>תרות אחר מסגרות מוסדיות שיאפשרו לחברי הקהילה לממש את אזרחותם במישור החוקתי.</w:t>
      </w:r>
      <w:r w:rsidR="00223F47" w:rsidRPr="00106D3A">
        <w:rPr>
          <w:rStyle w:val="FootnoteReference"/>
          <w:sz w:val="24"/>
          <w:rtl/>
        </w:rPr>
        <w:footnoteReference w:id="74"/>
      </w:r>
    </w:p>
    <w:p w:rsidR="00E04B97" w:rsidRPr="00106D3A" w:rsidRDefault="004D2FAE" w:rsidP="00300131">
      <w:pPr>
        <w:ind w:firstLine="720"/>
        <w:jc w:val="both"/>
        <w:rPr>
          <w:sz w:val="24"/>
          <w:rtl/>
        </w:rPr>
      </w:pPr>
      <w:r>
        <w:rPr>
          <w:rFonts w:hint="cs"/>
          <w:sz w:val="24"/>
          <w:rtl/>
        </w:rPr>
        <w:t xml:space="preserve">תפיסות אלה מתיישבות עם זרם </w:t>
      </w:r>
      <w:r w:rsidR="00EB2840" w:rsidRPr="00106D3A">
        <w:rPr>
          <w:rFonts w:hint="cs"/>
          <w:sz w:val="24"/>
          <w:rtl/>
        </w:rPr>
        <w:t xml:space="preserve">מרכזי בהגות </w:t>
      </w:r>
      <w:r w:rsidR="002F7B78" w:rsidRPr="00106D3A">
        <w:rPr>
          <w:rFonts w:hint="cs"/>
          <w:sz w:val="24"/>
          <w:rtl/>
        </w:rPr>
        <w:t>הליבראלית</w:t>
      </w:r>
      <w:r w:rsidR="00EB2840" w:rsidRPr="00106D3A">
        <w:rPr>
          <w:rFonts w:hint="cs"/>
          <w:sz w:val="24"/>
          <w:rtl/>
        </w:rPr>
        <w:t xml:space="preserve"> של העשורים האחרונים, המתמקד </w:t>
      </w:r>
      <w:proofErr w:type="spellStart"/>
      <w:r w:rsidR="00EB2840" w:rsidRPr="00106D3A">
        <w:rPr>
          <w:rFonts w:hint="cs"/>
          <w:sz w:val="24"/>
          <w:rtl/>
        </w:rPr>
        <w:t>בדינמיקות</w:t>
      </w:r>
      <w:proofErr w:type="spellEnd"/>
      <w:r w:rsidR="00EB2840" w:rsidRPr="00106D3A">
        <w:rPr>
          <w:rFonts w:hint="cs"/>
          <w:sz w:val="24"/>
          <w:rtl/>
        </w:rPr>
        <w:t xml:space="preserve"> של התדיינות כרכיב יסודי בהתנהלותה של דמוקרטיה </w:t>
      </w:r>
      <w:r w:rsidR="00FC33D9" w:rsidRPr="00106D3A">
        <w:rPr>
          <w:rFonts w:hint="cs"/>
          <w:sz w:val="24"/>
          <w:rtl/>
        </w:rPr>
        <w:t xml:space="preserve">חוקתית </w:t>
      </w:r>
      <w:r w:rsidR="00EB2840" w:rsidRPr="00106D3A">
        <w:rPr>
          <w:rFonts w:hint="cs"/>
          <w:sz w:val="24"/>
          <w:rtl/>
        </w:rPr>
        <w:t>שהיא גם לגיטימית מבחינה מוסרית וגם מוצלחת מבחינה תוצאתית.</w:t>
      </w:r>
      <w:r w:rsidR="00C172BD">
        <w:rPr>
          <w:rStyle w:val="FootnoteReference"/>
          <w:sz w:val="24"/>
          <w:rtl/>
        </w:rPr>
        <w:footnoteReference w:id="75"/>
      </w:r>
      <w:r w:rsidR="00EB2840" w:rsidRPr="00106D3A">
        <w:rPr>
          <w:rFonts w:hint="cs"/>
          <w:sz w:val="24"/>
          <w:rtl/>
        </w:rPr>
        <w:t xml:space="preserve"> </w:t>
      </w:r>
      <w:r w:rsidR="00304D08" w:rsidRPr="00106D3A">
        <w:rPr>
          <w:rFonts w:hint="cs"/>
          <w:sz w:val="24"/>
          <w:rtl/>
        </w:rPr>
        <w:t xml:space="preserve">תורות של דמוקרטיה </w:t>
      </w:r>
      <w:proofErr w:type="spellStart"/>
      <w:r w:rsidR="00304D08" w:rsidRPr="00106D3A">
        <w:rPr>
          <w:rFonts w:hint="cs"/>
          <w:sz w:val="24"/>
          <w:rtl/>
        </w:rPr>
        <w:t>התדיינותי</w:t>
      </w:r>
      <w:r w:rsidR="00E83B2A" w:rsidRPr="00106D3A">
        <w:rPr>
          <w:rFonts w:hint="cs"/>
          <w:sz w:val="24"/>
          <w:rtl/>
        </w:rPr>
        <w:t>ת</w:t>
      </w:r>
      <w:proofErr w:type="spellEnd"/>
      <w:r w:rsidR="00E83B2A" w:rsidRPr="00106D3A">
        <w:rPr>
          <w:rFonts w:hint="cs"/>
          <w:sz w:val="24"/>
          <w:rtl/>
        </w:rPr>
        <w:t xml:space="preserve"> (</w:t>
      </w:r>
      <w:r w:rsidR="00E83B2A" w:rsidRPr="00106D3A">
        <w:rPr>
          <w:sz w:val="24"/>
        </w:rPr>
        <w:t>deliberative democracy</w:t>
      </w:r>
      <w:r w:rsidR="00E83B2A" w:rsidRPr="00106D3A">
        <w:rPr>
          <w:rFonts w:hint="cs"/>
          <w:sz w:val="24"/>
          <w:rtl/>
        </w:rPr>
        <w:t xml:space="preserve">) </w:t>
      </w:r>
      <w:r w:rsidR="002C0E13" w:rsidRPr="00106D3A">
        <w:rPr>
          <w:rFonts w:hint="cs"/>
          <w:sz w:val="24"/>
          <w:rtl/>
        </w:rPr>
        <w:t>צמחו כחלופה</w:t>
      </w:r>
      <w:r w:rsidR="00C17D91" w:rsidRPr="00106D3A">
        <w:rPr>
          <w:rFonts w:hint="cs"/>
          <w:sz w:val="24"/>
          <w:rtl/>
        </w:rPr>
        <w:t>, או כהשלמה,</w:t>
      </w:r>
      <w:r w:rsidR="002C0E13" w:rsidRPr="00106D3A">
        <w:rPr>
          <w:rFonts w:hint="cs"/>
          <w:sz w:val="24"/>
          <w:rtl/>
        </w:rPr>
        <w:t xml:space="preserve"> לתיאוריות דמוקרטיות </w:t>
      </w:r>
      <w:proofErr w:type="spellStart"/>
      <w:r w:rsidR="00FF1FAE">
        <w:rPr>
          <w:rFonts w:hint="cs"/>
          <w:sz w:val="24"/>
          <w:rtl/>
        </w:rPr>
        <w:t>סוכמות</w:t>
      </w:r>
      <w:proofErr w:type="spellEnd"/>
      <w:r w:rsidR="002C0E13" w:rsidRPr="00106D3A">
        <w:rPr>
          <w:rFonts w:hint="cs"/>
          <w:sz w:val="24"/>
          <w:rtl/>
        </w:rPr>
        <w:t xml:space="preserve"> (</w:t>
      </w:r>
      <w:r w:rsidR="00FF1FAE">
        <w:rPr>
          <w:sz w:val="24"/>
        </w:rPr>
        <w:t>aggregative</w:t>
      </w:r>
      <w:r w:rsidR="002C0E13" w:rsidRPr="00106D3A">
        <w:rPr>
          <w:rFonts w:hint="cs"/>
          <w:sz w:val="24"/>
          <w:rtl/>
        </w:rPr>
        <w:t xml:space="preserve">), שהתמקדו </w:t>
      </w:r>
      <w:r w:rsidR="00E04B97" w:rsidRPr="00106D3A">
        <w:rPr>
          <w:rFonts w:hint="cs"/>
          <w:sz w:val="24"/>
          <w:rtl/>
        </w:rPr>
        <w:t xml:space="preserve">בעיקר </w:t>
      </w:r>
      <w:r w:rsidR="00300131">
        <w:rPr>
          <w:rFonts w:hint="cs"/>
          <w:sz w:val="24"/>
          <w:rtl/>
        </w:rPr>
        <w:t xml:space="preserve">במנגנונים </w:t>
      </w:r>
      <w:r w:rsidR="002C0E13" w:rsidRPr="00106D3A">
        <w:rPr>
          <w:rFonts w:hint="cs"/>
          <w:sz w:val="24"/>
          <w:rtl/>
        </w:rPr>
        <w:t xml:space="preserve">לקבלת החלטות </w:t>
      </w:r>
      <w:r w:rsidR="00E04B97" w:rsidRPr="00106D3A">
        <w:rPr>
          <w:rFonts w:hint="cs"/>
          <w:sz w:val="24"/>
          <w:rtl/>
        </w:rPr>
        <w:t xml:space="preserve">ציבוריות כמו הצבעת-רוב או הכרעה שיפוטית. </w:t>
      </w:r>
      <w:r w:rsidR="00C17D91" w:rsidRPr="00106D3A">
        <w:rPr>
          <w:rFonts w:hint="cs"/>
          <w:sz w:val="24"/>
          <w:rtl/>
        </w:rPr>
        <w:t xml:space="preserve">הגישות </w:t>
      </w:r>
      <w:proofErr w:type="spellStart"/>
      <w:r w:rsidR="00C17D91" w:rsidRPr="00106D3A">
        <w:rPr>
          <w:rFonts w:hint="cs"/>
          <w:sz w:val="24"/>
          <w:rtl/>
        </w:rPr>
        <w:t>ההתדיינותיות</w:t>
      </w:r>
      <w:proofErr w:type="spellEnd"/>
      <w:r w:rsidR="00C17D91" w:rsidRPr="00106D3A">
        <w:rPr>
          <w:rFonts w:hint="cs"/>
          <w:sz w:val="24"/>
          <w:rtl/>
        </w:rPr>
        <w:t xml:space="preserve"> מדגישות </w:t>
      </w:r>
      <w:r w:rsidR="003E24A7" w:rsidRPr="00106D3A">
        <w:rPr>
          <w:rFonts w:hint="cs"/>
          <w:sz w:val="24"/>
          <w:rtl/>
        </w:rPr>
        <w:t>לעומת זאת את תהליך השיח המוביל לשלב ההכרעה.</w:t>
      </w:r>
      <w:r w:rsidR="00CF0876" w:rsidRPr="00106D3A">
        <w:rPr>
          <w:rStyle w:val="FootnoteReference"/>
          <w:sz w:val="24"/>
          <w:rtl/>
        </w:rPr>
        <w:footnoteReference w:id="76"/>
      </w:r>
      <w:r w:rsidR="003E24A7" w:rsidRPr="00106D3A">
        <w:rPr>
          <w:rFonts w:hint="cs"/>
          <w:sz w:val="24"/>
          <w:rtl/>
        </w:rPr>
        <w:t xml:space="preserve"> </w:t>
      </w:r>
      <w:r w:rsidR="00531DC2" w:rsidRPr="00106D3A">
        <w:rPr>
          <w:rFonts w:hint="cs"/>
          <w:sz w:val="24"/>
          <w:rtl/>
        </w:rPr>
        <w:t xml:space="preserve">הן תופסות את ההתדיינות הציבורית </w:t>
      </w:r>
      <w:r w:rsidR="00531DC2" w:rsidRPr="00106D3A">
        <w:rPr>
          <w:sz w:val="24"/>
          <w:rtl/>
        </w:rPr>
        <w:t>–</w:t>
      </w:r>
      <w:r w:rsidR="00531DC2" w:rsidRPr="00106D3A">
        <w:rPr>
          <w:rFonts w:hint="cs"/>
          <w:sz w:val="24"/>
          <w:rtl/>
        </w:rPr>
        <w:t xml:space="preserve"> אם היא מקיימת תנאים של כבוד, </w:t>
      </w:r>
      <w:r w:rsidR="00423D3E" w:rsidRPr="00106D3A">
        <w:rPr>
          <w:rFonts w:hint="cs"/>
          <w:sz w:val="24"/>
          <w:rtl/>
        </w:rPr>
        <w:t xml:space="preserve">שוויוניות ורציונאליות </w:t>
      </w:r>
      <w:r w:rsidR="00531DC2" w:rsidRPr="00106D3A">
        <w:rPr>
          <w:sz w:val="24"/>
          <w:rtl/>
        </w:rPr>
        <w:t>–</w:t>
      </w:r>
      <w:r w:rsidR="00531DC2" w:rsidRPr="00106D3A">
        <w:rPr>
          <w:rFonts w:hint="cs"/>
          <w:sz w:val="24"/>
          <w:rtl/>
        </w:rPr>
        <w:t xml:space="preserve"> כשלב חיוני בדרך להכרעה לגיטימית כלשהי.</w:t>
      </w:r>
      <w:bookmarkStart w:id="36" w:name="_Ref365893939"/>
      <w:r w:rsidR="00116630" w:rsidRPr="00106D3A">
        <w:rPr>
          <w:rStyle w:val="FootnoteReference"/>
          <w:sz w:val="24"/>
          <w:rtl/>
        </w:rPr>
        <w:footnoteReference w:id="77"/>
      </w:r>
      <w:bookmarkEnd w:id="36"/>
      <w:r w:rsidR="00531DC2" w:rsidRPr="00106D3A">
        <w:rPr>
          <w:rFonts w:hint="cs"/>
          <w:sz w:val="24"/>
          <w:rtl/>
        </w:rPr>
        <w:t xml:space="preserve"> </w:t>
      </w:r>
      <w:proofErr w:type="spellStart"/>
      <w:r w:rsidR="00AC7125" w:rsidRPr="00106D3A">
        <w:rPr>
          <w:rFonts w:hint="cs"/>
          <w:sz w:val="24"/>
          <w:rtl/>
        </w:rPr>
        <w:t>דינמיקות</w:t>
      </w:r>
      <w:proofErr w:type="spellEnd"/>
      <w:r w:rsidR="00AC7125" w:rsidRPr="00106D3A">
        <w:rPr>
          <w:rFonts w:hint="cs"/>
          <w:sz w:val="24"/>
          <w:rtl/>
        </w:rPr>
        <w:t xml:space="preserve"> של התדיינות תובעות מבעלי הכוח השלטוני לנמק </w:t>
      </w:r>
      <w:r w:rsidR="00E752D7" w:rsidRPr="00106D3A">
        <w:rPr>
          <w:rFonts w:hint="cs"/>
          <w:sz w:val="24"/>
          <w:rtl/>
        </w:rPr>
        <w:t>את עמדותיהם ו</w:t>
      </w:r>
      <w:r w:rsidR="00AC7125" w:rsidRPr="00106D3A">
        <w:rPr>
          <w:rFonts w:hint="cs"/>
          <w:sz w:val="24"/>
          <w:rtl/>
        </w:rPr>
        <w:t xml:space="preserve">להיחשף </w:t>
      </w:r>
      <w:r w:rsidR="00E752D7" w:rsidRPr="00106D3A">
        <w:rPr>
          <w:rFonts w:hint="cs"/>
          <w:sz w:val="24"/>
          <w:rtl/>
        </w:rPr>
        <w:t>ל</w:t>
      </w:r>
      <w:r w:rsidR="00AC7125" w:rsidRPr="00106D3A">
        <w:rPr>
          <w:rFonts w:hint="cs"/>
          <w:sz w:val="24"/>
          <w:rtl/>
        </w:rPr>
        <w:t>דעות נוגדות</w:t>
      </w:r>
      <w:r w:rsidR="00E752D7" w:rsidRPr="00106D3A">
        <w:rPr>
          <w:rFonts w:hint="cs"/>
          <w:sz w:val="24"/>
          <w:rtl/>
        </w:rPr>
        <w:t xml:space="preserve"> ולמידע</w:t>
      </w:r>
      <w:r w:rsidR="00DA2B97" w:rsidRPr="00106D3A">
        <w:rPr>
          <w:rFonts w:hint="cs"/>
          <w:sz w:val="24"/>
          <w:rtl/>
        </w:rPr>
        <w:t xml:space="preserve"> חדש</w:t>
      </w:r>
      <w:r w:rsidR="00E752D7" w:rsidRPr="00106D3A">
        <w:rPr>
          <w:rFonts w:hint="cs"/>
          <w:sz w:val="24"/>
          <w:rtl/>
        </w:rPr>
        <w:t xml:space="preserve">. הן מעודדות תהליך נמשך של שכנוע באמצעות טיעונים רציונאליים, והן מבטיחות שגם מי ש"מפסיד" בסופו של דבר </w:t>
      </w:r>
      <w:r w:rsidR="008E349F" w:rsidRPr="00106D3A">
        <w:rPr>
          <w:rFonts w:hint="cs"/>
          <w:sz w:val="24"/>
          <w:rtl/>
        </w:rPr>
        <w:t>בהחלטה הסופית חש שקולו נשמע ושהיה לו חלק בתהליך שהוביל ל</w:t>
      </w:r>
      <w:r w:rsidR="0004167D" w:rsidRPr="00106D3A">
        <w:rPr>
          <w:rFonts w:hint="cs"/>
          <w:sz w:val="24"/>
          <w:rtl/>
        </w:rPr>
        <w:t>עיצוב ה</w:t>
      </w:r>
      <w:r w:rsidR="008E349F" w:rsidRPr="00106D3A">
        <w:rPr>
          <w:rFonts w:hint="cs"/>
          <w:sz w:val="24"/>
          <w:rtl/>
        </w:rPr>
        <w:t>החלטה</w:t>
      </w:r>
      <w:r w:rsidR="0004167D" w:rsidRPr="00106D3A">
        <w:rPr>
          <w:rFonts w:hint="cs"/>
          <w:sz w:val="24"/>
          <w:rtl/>
        </w:rPr>
        <w:t xml:space="preserve"> וליישומה</w:t>
      </w:r>
      <w:r w:rsidR="008E349F" w:rsidRPr="00106D3A">
        <w:rPr>
          <w:rFonts w:hint="cs"/>
          <w:sz w:val="24"/>
          <w:rtl/>
        </w:rPr>
        <w:t xml:space="preserve">. </w:t>
      </w:r>
      <w:r w:rsidR="00DA2B97" w:rsidRPr="00106D3A">
        <w:rPr>
          <w:rFonts w:hint="cs"/>
          <w:sz w:val="24"/>
          <w:rtl/>
        </w:rPr>
        <w:t xml:space="preserve">מבחינה מוסדית, גישות </w:t>
      </w:r>
      <w:proofErr w:type="spellStart"/>
      <w:r w:rsidR="00DA2B97" w:rsidRPr="00106D3A">
        <w:rPr>
          <w:rFonts w:hint="cs"/>
          <w:sz w:val="24"/>
          <w:rtl/>
        </w:rPr>
        <w:t>התדיינותיות</w:t>
      </w:r>
      <w:proofErr w:type="spellEnd"/>
      <w:r w:rsidR="00DA2B97" w:rsidRPr="00106D3A">
        <w:rPr>
          <w:rFonts w:hint="cs"/>
          <w:sz w:val="24"/>
          <w:rtl/>
        </w:rPr>
        <w:t xml:space="preserve"> </w:t>
      </w:r>
      <w:r w:rsidR="00395515" w:rsidRPr="00106D3A">
        <w:rPr>
          <w:rFonts w:hint="cs"/>
          <w:sz w:val="24"/>
          <w:rtl/>
        </w:rPr>
        <w:t xml:space="preserve">זקוקות למסגרות </w:t>
      </w:r>
      <w:r w:rsidR="000E06D3" w:rsidRPr="00106D3A">
        <w:rPr>
          <w:rFonts w:hint="cs"/>
          <w:sz w:val="24"/>
          <w:rtl/>
        </w:rPr>
        <w:t>שיספקו ל</w:t>
      </w:r>
      <w:r w:rsidR="002D7FDD" w:rsidRPr="00106D3A">
        <w:rPr>
          <w:rFonts w:hint="cs"/>
          <w:sz w:val="24"/>
          <w:rtl/>
        </w:rPr>
        <w:t xml:space="preserve">חברי הקהילה </w:t>
      </w:r>
      <w:r w:rsidR="002D7FDD" w:rsidRPr="00106D3A">
        <w:rPr>
          <w:rFonts w:hint="cs"/>
          <w:sz w:val="24"/>
          <w:rtl/>
        </w:rPr>
        <w:lastRenderedPageBreak/>
        <w:t>הפוליטית תנאים מסוגננים לניהול שיח הגון ומכבד.</w:t>
      </w:r>
      <w:r w:rsidR="005016AA" w:rsidRPr="00106D3A">
        <w:rPr>
          <w:rStyle w:val="FootnoteReference"/>
          <w:sz w:val="24"/>
          <w:rtl/>
        </w:rPr>
        <w:footnoteReference w:id="78"/>
      </w:r>
      <w:r w:rsidR="002D7FDD" w:rsidRPr="00106D3A">
        <w:rPr>
          <w:rFonts w:hint="cs"/>
          <w:sz w:val="24"/>
          <w:rtl/>
        </w:rPr>
        <w:t xml:space="preserve"> </w:t>
      </w:r>
      <w:r w:rsidR="00D052B4">
        <w:rPr>
          <w:rFonts w:hint="cs"/>
          <w:sz w:val="24"/>
          <w:rtl/>
        </w:rPr>
        <w:t xml:space="preserve">בין היתר החלה הכתיבה בתחום זה להתעניין בבתי המשפט </w:t>
      </w:r>
      <w:r w:rsidR="00E74EFA">
        <w:rPr>
          <w:sz w:val="24"/>
          <w:rtl/>
        </w:rPr>
        <w:t>–</w:t>
      </w:r>
      <w:r w:rsidR="00E74EFA">
        <w:rPr>
          <w:rFonts w:hint="cs"/>
          <w:sz w:val="24"/>
          <w:rtl/>
        </w:rPr>
        <w:t xml:space="preserve"> בעיקר עליונים או חוקתיים </w:t>
      </w:r>
      <w:r w:rsidR="00E74EFA">
        <w:rPr>
          <w:sz w:val="24"/>
          <w:rtl/>
        </w:rPr>
        <w:t>–</w:t>
      </w:r>
      <w:r w:rsidR="00E74EFA">
        <w:rPr>
          <w:rFonts w:hint="cs"/>
          <w:sz w:val="24"/>
          <w:rtl/>
        </w:rPr>
        <w:t xml:space="preserve"> </w:t>
      </w:r>
      <w:r w:rsidR="00D052B4">
        <w:rPr>
          <w:rFonts w:hint="cs"/>
          <w:sz w:val="24"/>
          <w:rtl/>
        </w:rPr>
        <w:t>כזירות מעודדות-</w:t>
      </w:r>
      <w:proofErr w:type="spellStart"/>
      <w:r w:rsidR="00D052B4">
        <w:rPr>
          <w:rFonts w:hint="cs"/>
          <w:sz w:val="24"/>
          <w:rtl/>
        </w:rPr>
        <w:t>דליברציה</w:t>
      </w:r>
      <w:proofErr w:type="spellEnd"/>
      <w:r w:rsidR="00D052B4">
        <w:rPr>
          <w:rFonts w:hint="cs"/>
          <w:sz w:val="24"/>
          <w:rtl/>
        </w:rPr>
        <w:t>.</w:t>
      </w:r>
      <w:r w:rsidR="00ED4894">
        <w:rPr>
          <w:rStyle w:val="FootnoteReference"/>
          <w:sz w:val="24"/>
          <w:rtl/>
        </w:rPr>
        <w:footnoteReference w:id="79"/>
      </w:r>
      <w:r w:rsidR="00D052B4">
        <w:rPr>
          <w:rFonts w:hint="cs"/>
          <w:sz w:val="24"/>
          <w:rtl/>
        </w:rPr>
        <w:t xml:space="preserve"> </w:t>
      </w:r>
    </w:p>
    <w:p w:rsidR="002D7FDD" w:rsidRPr="00106D3A" w:rsidRDefault="00725BE1" w:rsidP="00046C4D">
      <w:pPr>
        <w:ind w:firstLine="720"/>
        <w:jc w:val="both"/>
        <w:rPr>
          <w:sz w:val="24"/>
          <w:rtl/>
        </w:rPr>
      </w:pPr>
      <w:r w:rsidRPr="00106D3A">
        <w:rPr>
          <w:rFonts w:hint="cs"/>
          <w:sz w:val="24"/>
          <w:rtl/>
        </w:rPr>
        <w:t>לבסוף, תיאוריה דמוקרטית של ההליך החוקתי עוסקת גם בנתון הפלורליסטי המאפיין את כל המדינות המודרניות</w:t>
      </w:r>
      <w:r w:rsidR="00827F8E" w:rsidRPr="00106D3A">
        <w:rPr>
          <w:rFonts w:hint="cs"/>
          <w:sz w:val="24"/>
          <w:rtl/>
        </w:rPr>
        <w:t xml:space="preserve"> כיום</w:t>
      </w:r>
      <w:r w:rsidRPr="00106D3A">
        <w:rPr>
          <w:rFonts w:hint="cs"/>
          <w:sz w:val="24"/>
          <w:rtl/>
        </w:rPr>
        <w:t xml:space="preserve">: עובדת קיומם של קהילות ופרטים האוחזים </w:t>
      </w:r>
      <w:r w:rsidR="00A31064">
        <w:rPr>
          <w:rFonts w:hint="cs"/>
          <w:sz w:val="24"/>
          <w:rtl/>
        </w:rPr>
        <w:t xml:space="preserve">בתפיסות טוב מגוונות </w:t>
      </w:r>
      <w:r w:rsidR="00A31064">
        <w:rPr>
          <w:sz w:val="24"/>
          <w:rtl/>
        </w:rPr>
        <w:t>–</w:t>
      </w:r>
      <w:r w:rsidR="00A31064">
        <w:rPr>
          <w:rFonts w:hint="cs"/>
          <w:sz w:val="24"/>
          <w:rtl/>
        </w:rPr>
        <w:t xml:space="preserve"> </w:t>
      </w:r>
      <w:r w:rsidRPr="00106D3A">
        <w:rPr>
          <w:rFonts w:hint="cs"/>
          <w:sz w:val="24"/>
          <w:rtl/>
        </w:rPr>
        <w:t xml:space="preserve">במערכות שונות של אמונות </w:t>
      </w:r>
      <w:r w:rsidR="00827F8E" w:rsidRPr="00106D3A">
        <w:rPr>
          <w:rFonts w:hint="cs"/>
          <w:sz w:val="24"/>
          <w:rtl/>
        </w:rPr>
        <w:t xml:space="preserve">ביחס לתנאי היסוד של </w:t>
      </w:r>
      <w:r w:rsidR="00FA6656" w:rsidRPr="00106D3A">
        <w:rPr>
          <w:rFonts w:hint="cs"/>
          <w:sz w:val="24"/>
          <w:rtl/>
        </w:rPr>
        <w:t xml:space="preserve">החיים החברתיים, כלומר ביחס להסדרים החוקתיים </w:t>
      </w:r>
      <w:r w:rsidR="00046C4D">
        <w:rPr>
          <w:rFonts w:hint="cs"/>
          <w:sz w:val="24"/>
          <w:rtl/>
        </w:rPr>
        <w:t>הראויים ל</w:t>
      </w:r>
      <w:r w:rsidR="00FA6656" w:rsidRPr="00106D3A">
        <w:rPr>
          <w:rFonts w:hint="cs"/>
          <w:sz w:val="24"/>
          <w:rtl/>
        </w:rPr>
        <w:t>מדינה.</w:t>
      </w:r>
      <w:r w:rsidR="00EC34DD" w:rsidRPr="00106D3A">
        <w:rPr>
          <w:rStyle w:val="FootnoteReference"/>
          <w:sz w:val="24"/>
          <w:rtl/>
        </w:rPr>
        <w:footnoteReference w:id="80"/>
      </w:r>
      <w:r w:rsidR="00FA6656" w:rsidRPr="00106D3A">
        <w:rPr>
          <w:rFonts w:hint="cs"/>
          <w:sz w:val="24"/>
          <w:rtl/>
        </w:rPr>
        <w:t xml:space="preserve"> </w:t>
      </w:r>
      <w:r w:rsidR="006F59C9" w:rsidRPr="00106D3A">
        <w:rPr>
          <w:rFonts w:hint="cs"/>
          <w:sz w:val="24"/>
          <w:rtl/>
        </w:rPr>
        <w:t xml:space="preserve">ככל שהשיטה הדמוקרטית שואפת </w:t>
      </w:r>
      <w:r w:rsidR="00C212B3" w:rsidRPr="00106D3A">
        <w:rPr>
          <w:rFonts w:hint="cs"/>
          <w:sz w:val="24"/>
          <w:rtl/>
        </w:rPr>
        <w:t xml:space="preserve">להבטיח יחס שווה ומכבד לכל חבריה, היא נדרשת </w:t>
      </w:r>
      <w:r w:rsidR="006F59C9" w:rsidRPr="00106D3A">
        <w:rPr>
          <w:rFonts w:hint="cs"/>
          <w:sz w:val="24"/>
          <w:rtl/>
        </w:rPr>
        <w:t>להכ</w:t>
      </w:r>
      <w:r w:rsidR="00696BFF" w:rsidRPr="00106D3A">
        <w:rPr>
          <w:rFonts w:hint="cs"/>
          <w:sz w:val="24"/>
          <w:rtl/>
        </w:rPr>
        <w:t xml:space="preserve">יר בתפיסות מתחרות אלה </w:t>
      </w:r>
      <w:r w:rsidR="00C212B3" w:rsidRPr="00106D3A">
        <w:rPr>
          <w:rFonts w:hint="cs"/>
          <w:sz w:val="24"/>
          <w:rtl/>
        </w:rPr>
        <w:t>ולתת מקום בזירה הציבורית ל</w:t>
      </w:r>
      <w:r w:rsidR="00696BFF" w:rsidRPr="00106D3A">
        <w:rPr>
          <w:rFonts w:hint="cs"/>
          <w:sz w:val="24"/>
          <w:rtl/>
        </w:rPr>
        <w:t>אנשים ה</w:t>
      </w:r>
      <w:r w:rsidR="00CA2461" w:rsidRPr="00106D3A">
        <w:rPr>
          <w:rFonts w:hint="cs"/>
          <w:sz w:val="24"/>
          <w:rtl/>
        </w:rPr>
        <w:t>אוחזים</w:t>
      </w:r>
      <w:r w:rsidR="00696BFF" w:rsidRPr="00106D3A">
        <w:rPr>
          <w:rFonts w:hint="cs"/>
          <w:sz w:val="24"/>
          <w:rtl/>
        </w:rPr>
        <w:t xml:space="preserve"> בהן</w:t>
      </w:r>
      <w:r w:rsidR="007031BA" w:rsidRPr="00106D3A">
        <w:rPr>
          <w:rFonts w:hint="cs"/>
          <w:sz w:val="24"/>
          <w:rtl/>
        </w:rPr>
        <w:t xml:space="preserve"> ולקולות השונים שלהם</w:t>
      </w:r>
      <w:r w:rsidR="00C212B3" w:rsidRPr="00106D3A">
        <w:rPr>
          <w:rFonts w:hint="cs"/>
          <w:sz w:val="24"/>
          <w:rtl/>
        </w:rPr>
        <w:t>.</w:t>
      </w:r>
      <w:r w:rsidR="00481780">
        <w:rPr>
          <w:rStyle w:val="FootnoteReference"/>
          <w:sz w:val="24"/>
          <w:rtl/>
        </w:rPr>
        <w:footnoteReference w:id="81"/>
      </w:r>
      <w:r w:rsidR="00C212B3" w:rsidRPr="00106D3A">
        <w:rPr>
          <w:rFonts w:hint="cs"/>
          <w:sz w:val="24"/>
          <w:rtl/>
        </w:rPr>
        <w:t xml:space="preserve"> </w:t>
      </w:r>
      <w:r w:rsidR="0066787A" w:rsidRPr="00106D3A">
        <w:rPr>
          <w:rFonts w:hint="cs"/>
          <w:sz w:val="24"/>
          <w:rtl/>
        </w:rPr>
        <w:t xml:space="preserve">בהיותה מבוססת על ביקורת </w:t>
      </w:r>
      <w:proofErr w:type="spellStart"/>
      <w:r w:rsidR="0066787A" w:rsidRPr="00106D3A">
        <w:rPr>
          <w:rFonts w:hint="cs"/>
          <w:sz w:val="24"/>
          <w:rtl/>
        </w:rPr>
        <w:t>ונסיינות</w:t>
      </w:r>
      <w:proofErr w:type="spellEnd"/>
      <w:r w:rsidR="0066787A" w:rsidRPr="00106D3A">
        <w:rPr>
          <w:rFonts w:hint="cs"/>
          <w:sz w:val="24"/>
          <w:rtl/>
        </w:rPr>
        <w:t xml:space="preserve">, גישה דמוקרטית להליך החוקתי מבקשת לשמר את הריבוי הזה גם מטעמים אינסטרומנטליים </w:t>
      </w:r>
      <w:r w:rsidR="0066787A" w:rsidRPr="00106D3A">
        <w:rPr>
          <w:sz w:val="24"/>
          <w:rtl/>
        </w:rPr>
        <w:t>–</w:t>
      </w:r>
      <w:r w:rsidR="0066787A" w:rsidRPr="00106D3A">
        <w:rPr>
          <w:rFonts w:hint="cs"/>
          <w:sz w:val="24"/>
          <w:rtl/>
        </w:rPr>
        <w:t xml:space="preserve"> כדי להעשיר את השיח החוקתי ולסתור מגמות משתקות של חשיבה קבוצתית </w:t>
      </w:r>
      <w:r w:rsidR="00E40E24" w:rsidRPr="00106D3A">
        <w:rPr>
          <w:rFonts w:hint="cs"/>
          <w:sz w:val="24"/>
          <w:rtl/>
        </w:rPr>
        <w:t xml:space="preserve">וכבילה לפרדיגמות שגויות. </w:t>
      </w:r>
      <w:r w:rsidR="00C212B3" w:rsidRPr="00106D3A">
        <w:rPr>
          <w:rFonts w:hint="cs"/>
          <w:sz w:val="24"/>
          <w:rtl/>
        </w:rPr>
        <w:t xml:space="preserve">משמעות הדבר היא שעל הדמוקרטיה למצוא </w:t>
      </w:r>
      <w:r w:rsidR="00D24F70" w:rsidRPr="00106D3A">
        <w:rPr>
          <w:rFonts w:hint="cs"/>
          <w:sz w:val="24"/>
          <w:rtl/>
        </w:rPr>
        <w:t xml:space="preserve">מקום </w:t>
      </w:r>
      <w:r w:rsidR="00C212B3" w:rsidRPr="00106D3A">
        <w:rPr>
          <w:rFonts w:hint="cs"/>
          <w:sz w:val="24"/>
          <w:rtl/>
        </w:rPr>
        <w:t xml:space="preserve">לריבוי של תפיסות </w:t>
      </w:r>
      <w:r w:rsidR="00D24F70" w:rsidRPr="00106D3A">
        <w:rPr>
          <w:rFonts w:hint="cs"/>
          <w:sz w:val="24"/>
          <w:rtl/>
        </w:rPr>
        <w:t>בתהליכי היצירה של נורמות חוקתיות ובתהליכי הפירוש שלהן</w:t>
      </w:r>
      <w:r w:rsidR="00696BFF" w:rsidRPr="00106D3A">
        <w:rPr>
          <w:rFonts w:hint="cs"/>
          <w:sz w:val="24"/>
          <w:rtl/>
        </w:rPr>
        <w:t xml:space="preserve">. </w:t>
      </w:r>
      <w:r w:rsidR="00990A75" w:rsidRPr="00106D3A">
        <w:rPr>
          <w:rFonts w:hint="cs"/>
          <w:sz w:val="24"/>
          <w:rtl/>
        </w:rPr>
        <w:t xml:space="preserve">האתגר של עיצוב מוסדי פלורליסטי הוא מורכב במיוחד, משום </w:t>
      </w:r>
      <w:r w:rsidR="007F097F" w:rsidRPr="00106D3A">
        <w:rPr>
          <w:rFonts w:hint="cs"/>
          <w:sz w:val="24"/>
          <w:rtl/>
        </w:rPr>
        <w:t>שהשימוש בכוח מדינתי בהכרח משמעו העדפה של א</w:t>
      </w:r>
      <w:r w:rsidR="00824BE6" w:rsidRPr="00106D3A">
        <w:rPr>
          <w:rFonts w:hint="cs"/>
          <w:sz w:val="24"/>
          <w:rtl/>
        </w:rPr>
        <w:t>ידיאולוגיה או אמונה אחת על חברתה, ולכן נדרש פיתוח של שדות מוסדיים שונים שיוכלו מצד אחד להכיר בגיוון החברתי</w:t>
      </w:r>
      <w:r w:rsidR="00AB61A6" w:rsidRPr="00106D3A">
        <w:rPr>
          <w:rFonts w:hint="cs"/>
          <w:sz w:val="24"/>
          <w:rtl/>
        </w:rPr>
        <w:t xml:space="preserve"> ולבטא אותו</w:t>
      </w:r>
      <w:r w:rsidR="00824BE6" w:rsidRPr="00106D3A">
        <w:rPr>
          <w:rFonts w:hint="cs"/>
          <w:sz w:val="24"/>
          <w:rtl/>
        </w:rPr>
        <w:t>, ומצד שני לתרגמו לבחירה ציבורית סופית</w:t>
      </w:r>
      <w:r w:rsidR="00B95015" w:rsidRPr="00106D3A">
        <w:rPr>
          <w:rFonts w:hint="cs"/>
          <w:sz w:val="24"/>
          <w:rtl/>
        </w:rPr>
        <w:t xml:space="preserve"> כלשהי</w:t>
      </w:r>
      <w:r w:rsidR="008238F2">
        <w:rPr>
          <w:rFonts w:hint="cs"/>
          <w:sz w:val="24"/>
          <w:rtl/>
        </w:rPr>
        <w:t xml:space="preserve"> החותכת לכאן או לכאן</w:t>
      </w:r>
      <w:r w:rsidR="00824BE6" w:rsidRPr="00106D3A">
        <w:rPr>
          <w:rFonts w:hint="cs"/>
          <w:sz w:val="24"/>
          <w:rtl/>
        </w:rPr>
        <w:t xml:space="preserve">. </w:t>
      </w:r>
    </w:p>
    <w:p w:rsidR="006B002D" w:rsidRPr="00106D3A" w:rsidRDefault="00224143" w:rsidP="00C22581">
      <w:pPr>
        <w:ind w:firstLine="720"/>
        <w:jc w:val="both"/>
        <w:rPr>
          <w:sz w:val="24"/>
          <w:rtl/>
        </w:rPr>
      </w:pPr>
      <w:r w:rsidRPr="00106D3A">
        <w:rPr>
          <w:rFonts w:hint="cs"/>
          <w:sz w:val="24"/>
          <w:rtl/>
        </w:rPr>
        <w:t xml:space="preserve">בתיאוריה של המשפט החוקתי קיבלו תפיסות </w:t>
      </w:r>
      <w:r w:rsidR="00DF76DD" w:rsidRPr="00106D3A">
        <w:rPr>
          <w:rFonts w:hint="cs"/>
          <w:sz w:val="24"/>
          <w:rtl/>
        </w:rPr>
        <w:t xml:space="preserve">דמוקרטיות </w:t>
      </w:r>
      <w:r w:rsidRPr="00106D3A">
        <w:rPr>
          <w:rFonts w:hint="cs"/>
          <w:sz w:val="24"/>
          <w:rtl/>
        </w:rPr>
        <w:t xml:space="preserve">אלה </w:t>
      </w:r>
      <w:r w:rsidR="00C635C7" w:rsidRPr="00106D3A">
        <w:rPr>
          <w:rFonts w:hint="cs"/>
          <w:sz w:val="24"/>
          <w:rtl/>
        </w:rPr>
        <w:t xml:space="preserve">ביטוי בתנועה </w:t>
      </w:r>
      <w:r w:rsidR="0052793A" w:rsidRPr="00106D3A">
        <w:rPr>
          <w:rFonts w:hint="cs"/>
          <w:sz w:val="24"/>
          <w:rtl/>
        </w:rPr>
        <w:t>בולטת</w:t>
      </w:r>
      <w:r w:rsidR="005C78B7" w:rsidRPr="00106D3A">
        <w:rPr>
          <w:rFonts w:hint="cs"/>
          <w:sz w:val="24"/>
          <w:rtl/>
        </w:rPr>
        <w:t xml:space="preserve"> בשיח האמריקאי של שני העשורים האחרונים, שכונ</w:t>
      </w:r>
      <w:r w:rsidR="00CB71BD" w:rsidRPr="00106D3A">
        <w:rPr>
          <w:rFonts w:hint="cs"/>
          <w:sz w:val="24"/>
          <w:rtl/>
        </w:rPr>
        <w:t>ת</w:t>
      </w:r>
      <w:r w:rsidR="005C78B7" w:rsidRPr="00106D3A">
        <w:rPr>
          <w:rFonts w:hint="cs"/>
          <w:sz w:val="24"/>
          <w:rtl/>
        </w:rPr>
        <w:t xml:space="preserve">ה </w:t>
      </w:r>
      <w:r w:rsidR="00CB71BD" w:rsidRPr="00106D3A">
        <w:rPr>
          <w:sz w:val="24"/>
        </w:rPr>
        <w:t>popular</w:t>
      </w:r>
      <w:r w:rsidR="005C78B7" w:rsidRPr="00106D3A">
        <w:rPr>
          <w:sz w:val="24"/>
        </w:rPr>
        <w:t xml:space="preserve"> constitutionalism</w:t>
      </w:r>
      <w:r w:rsidR="005C78B7" w:rsidRPr="00106D3A">
        <w:rPr>
          <w:rFonts w:hint="cs"/>
          <w:sz w:val="24"/>
          <w:rtl/>
        </w:rPr>
        <w:t xml:space="preserve"> </w:t>
      </w:r>
      <w:r w:rsidR="005C78B7" w:rsidRPr="00106D3A">
        <w:rPr>
          <w:sz w:val="24"/>
          <w:rtl/>
        </w:rPr>
        <w:t>–</w:t>
      </w:r>
      <w:r w:rsidR="005C78B7" w:rsidRPr="00106D3A">
        <w:rPr>
          <w:rFonts w:hint="cs"/>
          <w:sz w:val="24"/>
          <w:rtl/>
        </w:rPr>
        <w:t xml:space="preserve"> "חוקתיות עממית" (בקירוב). </w:t>
      </w:r>
      <w:r w:rsidR="00702884" w:rsidRPr="00106D3A">
        <w:rPr>
          <w:rFonts w:hint="cs"/>
          <w:sz w:val="24"/>
          <w:rtl/>
        </w:rPr>
        <w:t xml:space="preserve">הספרות המזוהה עם קטגוריה אינטלקטואלית </w:t>
      </w:r>
      <w:r w:rsidR="00DD65C7" w:rsidRPr="00106D3A">
        <w:rPr>
          <w:rFonts w:hint="cs"/>
          <w:sz w:val="24"/>
          <w:rtl/>
        </w:rPr>
        <w:t xml:space="preserve">זו </w:t>
      </w:r>
      <w:r w:rsidR="00702884" w:rsidRPr="00106D3A">
        <w:rPr>
          <w:rFonts w:hint="cs"/>
          <w:sz w:val="24"/>
          <w:rtl/>
        </w:rPr>
        <w:t xml:space="preserve">כוללת כמה סוגים של מהלכים והיא אינה עשויה מקשה אחת, רעיונית או אידיאולוגית. </w:t>
      </w:r>
      <w:r w:rsidR="00DD65C7" w:rsidRPr="00106D3A">
        <w:rPr>
          <w:rFonts w:hint="cs"/>
          <w:sz w:val="24"/>
          <w:rtl/>
        </w:rPr>
        <w:t xml:space="preserve">אך בבסיסה עוסקת הכתיבה </w:t>
      </w:r>
      <w:r w:rsidR="009A43E5" w:rsidRPr="00106D3A">
        <w:rPr>
          <w:rFonts w:hint="cs"/>
          <w:sz w:val="24"/>
          <w:rtl/>
        </w:rPr>
        <w:t>הזו</w:t>
      </w:r>
      <w:r w:rsidR="00DD65C7" w:rsidRPr="00106D3A">
        <w:rPr>
          <w:rFonts w:hint="cs"/>
          <w:sz w:val="24"/>
          <w:rtl/>
        </w:rPr>
        <w:t xml:space="preserve"> בזיהוי </w:t>
      </w:r>
      <w:r w:rsidR="004C4501">
        <w:rPr>
          <w:rFonts w:hint="cs"/>
          <w:sz w:val="24"/>
          <w:rtl/>
        </w:rPr>
        <w:t xml:space="preserve">ובעידוד </w:t>
      </w:r>
      <w:proofErr w:type="spellStart"/>
      <w:r w:rsidR="00DD65C7" w:rsidRPr="00106D3A">
        <w:rPr>
          <w:rFonts w:hint="cs"/>
          <w:sz w:val="24"/>
          <w:rtl/>
        </w:rPr>
        <w:t>דינמיקות</w:t>
      </w:r>
      <w:proofErr w:type="spellEnd"/>
      <w:r w:rsidR="00DD65C7" w:rsidRPr="00106D3A">
        <w:rPr>
          <w:rFonts w:hint="cs"/>
          <w:sz w:val="24"/>
          <w:rtl/>
        </w:rPr>
        <w:t xml:space="preserve"> </w:t>
      </w:r>
      <w:r w:rsidR="00B72FC9" w:rsidRPr="00106D3A">
        <w:rPr>
          <w:rFonts w:hint="cs"/>
          <w:sz w:val="24"/>
          <w:rtl/>
        </w:rPr>
        <w:t xml:space="preserve">שונות </w:t>
      </w:r>
      <w:r w:rsidR="00DD65C7" w:rsidRPr="00106D3A">
        <w:rPr>
          <w:rFonts w:hint="cs"/>
          <w:sz w:val="24"/>
          <w:rtl/>
        </w:rPr>
        <w:t xml:space="preserve">של </w:t>
      </w:r>
      <w:r w:rsidR="00963ACA" w:rsidRPr="00106D3A">
        <w:rPr>
          <w:rFonts w:hint="cs"/>
          <w:sz w:val="24"/>
          <w:rtl/>
        </w:rPr>
        <w:t>יצירת משמעויות חוקתיות שאינן מתנהלות בהליך המקובל של חקיקה חוקתית ופרשנות שיפוטית (בבית המשפט העליון).</w:t>
      </w:r>
      <w:r w:rsidR="00544783">
        <w:rPr>
          <w:rStyle w:val="FootnoteReference"/>
          <w:sz w:val="24"/>
          <w:rtl/>
        </w:rPr>
        <w:footnoteReference w:id="82"/>
      </w:r>
      <w:r w:rsidR="00963ACA" w:rsidRPr="00106D3A">
        <w:rPr>
          <w:rFonts w:hint="cs"/>
          <w:sz w:val="24"/>
          <w:rtl/>
        </w:rPr>
        <w:t xml:space="preserve"> </w:t>
      </w:r>
      <w:r w:rsidR="00B72FC9" w:rsidRPr="00106D3A">
        <w:rPr>
          <w:rFonts w:hint="cs"/>
          <w:sz w:val="24"/>
          <w:rtl/>
        </w:rPr>
        <w:t xml:space="preserve">במסגרת זו ניכר עניין מחודש </w:t>
      </w:r>
      <w:r w:rsidR="00DF76DD" w:rsidRPr="00106D3A">
        <w:rPr>
          <w:rFonts w:hint="cs"/>
          <w:sz w:val="24"/>
          <w:rtl/>
        </w:rPr>
        <w:t xml:space="preserve">במעמדו של </w:t>
      </w:r>
      <w:r w:rsidR="001656F8" w:rsidRPr="00106D3A">
        <w:rPr>
          <w:rFonts w:hint="cs"/>
          <w:sz w:val="24"/>
          <w:rtl/>
        </w:rPr>
        <w:t xml:space="preserve">בית המחוקקים </w:t>
      </w:r>
      <w:r w:rsidR="00DF76DD" w:rsidRPr="00106D3A">
        <w:rPr>
          <w:rFonts w:hint="cs"/>
          <w:sz w:val="24"/>
          <w:rtl/>
        </w:rPr>
        <w:t>כפרשן של החוקה,</w:t>
      </w:r>
      <w:r w:rsidR="007B5476" w:rsidRPr="00106D3A">
        <w:rPr>
          <w:rStyle w:val="FootnoteReference"/>
          <w:sz w:val="24"/>
          <w:rtl/>
        </w:rPr>
        <w:footnoteReference w:id="83"/>
      </w:r>
      <w:r w:rsidR="00DF76DD" w:rsidRPr="00106D3A">
        <w:rPr>
          <w:rFonts w:hint="cs"/>
          <w:sz w:val="24"/>
          <w:rtl/>
        </w:rPr>
        <w:t xml:space="preserve"> נעשים מחקרים על מקומם </w:t>
      </w:r>
      <w:r w:rsidR="00D7561C" w:rsidRPr="00106D3A">
        <w:rPr>
          <w:rFonts w:hint="cs"/>
          <w:sz w:val="24"/>
          <w:rtl/>
        </w:rPr>
        <w:t>של ההמון,</w:t>
      </w:r>
      <w:r w:rsidR="002D6529" w:rsidRPr="00106D3A">
        <w:rPr>
          <w:rStyle w:val="FootnoteReference"/>
          <w:sz w:val="24"/>
          <w:rtl/>
        </w:rPr>
        <w:footnoteReference w:id="84"/>
      </w:r>
      <w:r w:rsidR="00D7561C" w:rsidRPr="00106D3A">
        <w:rPr>
          <w:rFonts w:hint="cs"/>
          <w:sz w:val="24"/>
          <w:rtl/>
        </w:rPr>
        <w:t xml:space="preserve"> דעת הקהל,</w:t>
      </w:r>
      <w:r w:rsidR="00A4533F" w:rsidRPr="00106D3A">
        <w:rPr>
          <w:rStyle w:val="FootnoteReference"/>
          <w:sz w:val="24"/>
          <w:rtl/>
        </w:rPr>
        <w:footnoteReference w:id="85"/>
      </w:r>
      <w:r w:rsidR="00DF76DD" w:rsidRPr="00106D3A">
        <w:rPr>
          <w:rFonts w:hint="cs"/>
          <w:sz w:val="24"/>
          <w:rtl/>
        </w:rPr>
        <w:t xml:space="preserve"> תנועות </w:t>
      </w:r>
      <w:r w:rsidR="00C22581">
        <w:rPr>
          <w:rFonts w:hint="cs"/>
          <w:sz w:val="24"/>
          <w:rtl/>
        </w:rPr>
        <w:t>חברתיות</w:t>
      </w:r>
      <w:r w:rsidR="00DF76DD" w:rsidRPr="00106D3A">
        <w:rPr>
          <w:rFonts w:hint="cs"/>
          <w:sz w:val="24"/>
          <w:rtl/>
        </w:rPr>
        <w:t>,</w:t>
      </w:r>
      <w:r w:rsidR="00BE2039" w:rsidRPr="00106D3A">
        <w:rPr>
          <w:rStyle w:val="FootnoteReference"/>
          <w:sz w:val="24"/>
          <w:rtl/>
        </w:rPr>
        <w:footnoteReference w:id="86"/>
      </w:r>
      <w:r w:rsidR="00DF76DD" w:rsidRPr="00106D3A">
        <w:rPr>
          <w:rFonts w:hint="cs"/>
          <w:sz w:val="24"/>
          <w:rtl/>
        </w:rPr>
        <w:t xml:space="preserve"> ארגונים לא-ממשלתיים וקבוצות אינטרס בתהליכי היצירה של תפיסות חוקתיות בתוך בית המשפט ומחוצה לו, </w:t>
      </w:r>
      <w:r w:rsidR="001B6D5E" w:rsidRPr="00106D3A">
        <w:rPr>
          <w:rFonts w:hint="cs"/>
          <w:sz w:val="24"/>
          <w:rtl/>
        </w:rPr>
        <w:t>נדון</w:t>
      </w:r>
      <w:r w:rsidR="005072FD">
        <w:rPr>
          <w:rFonts w:hint="cs"/>
          <w:sz w:val="24"/>
          <w:rtl/>
        </w:rPr>
        <w:t xml:space="preserve"> ההיבט החוקתי של ההליך הפוליטי</w:t>
      </w:r>
      <w:r w:rsidR="00731843">
        <w:rPr>
          <w:rFonts w:hint="cs"/>
          <w:sz w:val="24"/>
          <w:rtl/>
        </w:rPr>
        <w:t xml:space="preserve"> </w:t>
      </w:r>
      <w:r w:rsidR="00A8267A">
        <w:rPr>
          <w:rFonts w:hint="cs"/>
          <w:sz w:val="24"/>
          <w:rtl/>
        </w:rPr>
        <w:t xml:space="preserve">ככלל </w:t>
      </w:r>
      <w:r w:rsidR="00731843">
        <w:rPr>
          <w:rFonts w:hint="cs"/>
          <w:sz w:val="24"/>
          <w:rtl/>
        </w:rPr>
        <w:lastRenderedPageBreak/>
        <w:t>ושל הליכי מינוי ובחירה של שופטים</w:t>
      </w:r>
      <w:r w:rsidR="00A8267A">
        <w:rPr>
          <w:rFonts w:hint="cs"/>
          <w:sz w:val="24"/>
          <w:rtl/>
        </w:rPr>
        <w:t xml:space="preserve"> בפרט</w:t>
      </w:r>
      <w:r w:rsidR="005072FD">
        <w:rPr>
          <w:rFonts w:hint="cs"/>
          <w:sz w:val="24"/>
          <w:rtl/>
        </w:rPr>
        <w:t>,</w:t>
      </w:r>
      <w:r w:rsidR="001D3760">
        <w:rPr>
          <w:rStyle w:val="FootnoteReference"/>
          <w:sz w:val="24"/>
          <w:rtl/>
        </w:rPr>
        <w:footnoteReference w:id="87"/>
      </w:r>
      <w:r w:rsidR="005072FD">
        <w:rPr>
          <w:rFonts w:hint="cs"/>
          <w:sz w:val="24"/>
          <w:rtl/>
        </w:rPr>
        <w:t xml:space="preserve"> </w:t>
      </w:r>
      <w:r w:rsidR="001B6D5E" w:rsidRPr="00106D3A">
        <w:rPr>
          <w:rFonts w:hint="cs"/>
          <w:sz w:val="24"/>
          <w:rtl/>
        </w:rPr>
        <w:t>ונבחנ</w:t>
      </w:r>
      <w:r w:rsidR="00BC7D38" w:rsidRPr="00106D3A">
        <w:rPr>
          <w:rFonts w:hint="cs"/>
          <w:sz w:val="24"/>
          <w:rtl/>
        </w:rPr>
        <w:t>ה גם תרומתן</w:t>
      </w:r>
      <w:r w:rsidR="001B6D5E" w:rsidRPr="00106D3A">
        <w:rPr>
          <w:rFonts w:hint="cs"/>
          <w:sz w:val="24"/>
          <w:rtl/>
        </w:rPr>
        <w:t xml:space="preserve"> האפשרית של הערכאות הנמוכות</w:t>
      </w:r>
      <w:r w:rsidR="00650ED9" w:rsidRPr="00106D3A">
        <w:rPr>
          <w:rFonts w:hint="cs"/>
          <w:sz w:val="24"/>
          <w:rtl/>
        </w:rPr>
        <w:t xml:space="preserve"> להליך חוקתי דינמי ועשיר</w:t>
      </w:r>
      <w:r w:rsidR="003B5E12" w:rsidRPr="00106D3A">
        <w:rPr>
          <w:rFonts w:hint="cs"/>
          <w:sz w:val="24"/>
          <w:rtl/>
        </w:rPr>
        <w:t>.</w:t>
      </w:r>
      <w:r w:rsidR="00016A5D" w:rsidRPr="00106D3A">
        <w:rPr>
          <w:rStyle w:val="FootnoteReference"/>
          <w:sz w:val="24"/>
          <w:rtl/>
        </w:rPr>
        <w:footnoteReference w:id="88"/>
      </w:r>
      <w:r w:rsidR="003B5E12" w:rsidRPr="00106D3A">
        <w:rPr>
          <w:rFonts w:hint="cs"/>
          <w:sz w:val="24"/>
          <w:rtl/>
        </w:rPr>
        <w:t xml:space="preserve"> </w:t>
      </w:r>
      <w:r w:rsidR="00183076" w:rsidRPr="00106D3A">
        <w:rPr>
          <w:rFonts w:hint="cs"/>
          <w:sz w:val="24"/>
          <w:rtl/>
        </w:rPr>
        <w:t xml:space="preserve">לנקודה זו אעבור כעת. </w:t>
      </w:r>
    </w:p>
    <w:p w:rsidR="006B002D" w:rsidRPr="00106D3A" w:rsidRDefault="006B002D" w:rsidP="003E24A7">
      <w:pPr>
        <w:ind w:firstLine="720"/>
        <w:jc w:val="both"/>
        <w:rPr>
          <w:sz w:val="24"/>
          <w:rtl/>
        </w:rPr>
      </w:pPr>
    </w:p>
    <w:p w:rsidR="00BB374C" w:rsidRPr="00106D3A" w:rsidRDefault="00BB374C" w:rsidP="00D374A3">
      <w:pPr>
        <w:pStyle w:val="Heading2"/>
        <w:rPr>
          <w:rtl/>
        </w:rPr>
      </w:pPr>
      <w:bookmarkStart w:id="37" w:name="_Toc372223059"/>
      <w:r w:rsidRPr="00106D3A">
        <w:rPr>
          <w:rFonts w:hint="cs"/>
          <w:rtl/>
        </w:rPr>
        <w:t>ערכאות הדיון כזירה דמוקרטית</w:t>
      </w:r>
      <w:bookmarkEnd w:id="37"/>
    </w:p>
    <w:p w:rsidR="00B11315" w:rsidRPr="00106D3A" w:rsidRDefault="00B360F9" w:rsidP="008B2C76">
      <w:pPr>
        <w:ind w:firstLine="720"/>
        <w:jc w:val="both"/>
        <w:rPr>
          <w:sz w:val="24"/>
          <w:rtl/>
        </w:rPr>
      </w:pPr>
      <w:r w:rsidRPr="00106D3A">
        <w:rPr>
          <w:rFonts w:hint="cs"/>
          <w:sz w:val="24"/>
          <w:rtl/>
        </w:rPr>
        <w:t xml:space="preserve"> </w:t>
      </w:r>
      <w:r w:rsidR="0000509F" w:rsidRPr="00106D3A">
        <w:rPr>
          <w:rFonts w:hint="cs"/>
          <w:sz w:val="24"/>
          <w:rtl/>
        </w:rPr>
        <w:t xml:space="preserve">בתי משפט נמוכים בשיטות המשפט המקובל הם מוסדות ייחודיים. </w:t>
      </w:r>
      <w:r w:rsidR="00721279" w:rsidRPr="00106D3A">
        <w:rPr>
          <w:rFonts w:hint="cs"/>
          <w:sz w:val="24"/>
          <w:rtl/>
        </w:rPr>
        <w:t>אלו</w:t>
      </w:r>
      <w:r w:rsidR="0000509F" w:rsidRPr="00106D3A">
        <w:rPr>
          <w:rFonts w:hint="cs"/>
          <w:sz w:val="24"/>
          <w:rtl/>
        </w:rPr>
        <w:t xml:space="preserve"> אתרים בהם מתרחש</w:t>
      </w:r>
      <w:r w:rsidR="00B11315" w:rsidRPr="00106D3A">
        <w:rPr>
          <w:rFonts w:hint="cs"/>
          <w:sz w:val="24"/>
          <w:rtl/>
        </w:rPr>
        <w:t>ו</w:t>
      </w:r>
      <w:r w:rsidR="0000509F" w:rsidRPr="00106D3A">
        <w:rPr>
          <w:rFonts w:hint="cs"/>
          <w:sz w:val="24"/>
          <w:rtl/>
        </w:rPr>
        <w:t>ת התדיינו</w:t>
      </w:r>
      <w:r w:rsidR="005973B5" w:rsidRPr="00106D3A">
        <w:rPr>
          <w:rFonts w:hint="cs"/>
          <w:sz w:val="24"/>
          <w:rtl/>
        </w:rPr>
        <w:t>יו</w:t>
      </w:r>
      <w:r w:rsidR="0000509F" w:rsidRPr="00106D3A">
        <w:rPr>
          <w:rFonts w:hint="cs"/>
          <w:sz w:val="24"/>
          <w:rtl/>
        </w:rPr>
        <w:t xml:space="preserve">ת </w:t>
      </w:r>
      <w:r w:rsidR="00B11315" w:rsidRPr="00106D3A">
        <w:rPr>
          <w:rFonts w:hint="cs"/>
          <w:sz w:val="24"/>
          <w:rtl/>
        </w:rPr>
        <w:t>רבות</w:t>
      </w:r>
      <w:r w:rsidR="00D9709B" w:rsidRPr="00106D3A">
        <w:rPr>
          <w:rFonts w:hint="cs"/>
          <w:sz w:val="24"/>
          <w:rtl/>
        </w:rPr>
        <w:t xml:space="preserve"> מאוד בין המדינה (השופטים ויתר הפקידים המעורבים בהליך) והפרט (בעלי הדין) על תוכנן ומשמעותן של נורמות משפטיות</w:t>
      </w:r>
      <w:r w:rsidR="0000509F" w:rsidRPr="00106D3A">
        <w:rPr>
          <w:rFonts w:hint="cs"/>
          <w:sz w:val="24"/>
          <w:rtl/>
        </w:rPr>
        <w:t xml:space="preserve">, </w:t>
      </w:r>
      <w:r w:rsidR="002807D2" w:rsidRPr="00106D3A">
        <w:rPr>
          <w:rFonts w:hint="cs"/>
          <w:sz w:val="24"/>
          <w:rtl/>
        </w:rPr>
        <w:t xml:space="preserve">וזאת </w:t>
      </w:r>
      <w:r w:rsidR="00721279" w:rsidRPr="00106D3A">
        <w:rPr>
          <w:rFonts w:hint="cs"/>
          <w:sz w:val="24"/>
          <w:rtl/>
        </w:rPr>
        <w:t xml:space="preserve">בתנאים מסוגננים </w:t>
      </w:r>
      <w:r w:rsidR="00D9709B" w:rsidRPr="00106D3A">
        <w:rPr>
          <w:rFonts w:hint="cs"/>
          <w:sz w:val="24"/>
          <w:rtl/>
        </w:rPr>
        <w:t xml:space="preserve">של כללי שיח </w:t>
      </w:r>
      <w:r w:rsidR="00721279" w:rsidRPr="00106D3A">
        <w:rPr>
          <w:rFonts w:hint="cs"/>
          <w:sz w:val="24"/>
          <w:rtl/>
        </w:rPr>
        <w:t xml:space="preserve">המבוססים על </w:t>
      </w:r>
      <w:r w:rsidR="00D9709B" w:rsidRPr="00106D3A">
        <w:rPr>
          <w:rFonts w:hint="cs"/>
          <w:sz w:val="24"/>
          <w:rtl/>
        </w:rPr>
        <w:t>טיעונים רציונאליים</w:t>
      </w:r>
      <w:r w:rsidR="00B3081A" w:rsidRPr="00106D3A">
        <w:rPr>
          <w:rFonts w:hint="cs"/>
          <w:sz w:val="24"/>
          <w:rtl/>
        </w:rPr>
        <w:t>, על החלטות מנומקות,</w:t>
      </w:r>
      <w:r w:rsidR="00AF5B58" w:rsidRPr="00106D3A">
        <w:rPr>
          <w:rFonts w:hint="cs"/>
          <w:sz w:val="24"/>
          <w:rtl/>
        </w:rPr>
        <w:t xml:space="preserve"> ועל פני</w:t>
      </w:r>
      <w:r w:rsidR="00406D55" w:rsidRPr="00106D3A">
        <w:rPr>
          <w:rFonts w:hint="cs"/>
          <w:sz w:val="24"/>
          <w:rtl/>
        </w:rPr>
        <w:t>י</w:t>
      </w:r>
      <w:r w:rsidR="00AF5B58" w:rsidRPr="00106D3A">
        <w:rPr>
          <w:rFonts w:hint="cs"/>
          <w:sz w:val="24"/>
          <w:rtl/>
        </w:rPr>
        <w:t>ה לערכים ולעקרונות</w:t>
      </w:r>
      <w:r w:rsidR="0000509F" w:rsidRPr="00106D3A">
        <w:rPr>
          <w:rFonts w:hint="cs"/>
          <w:sz w:val="24"/>
          <w:rtl/>
        </w:rPr>
        <w:t xml:space="preserve">. </w:t>
      </w:r>
      <w:r w:rsidR="00F6092B" w:rsidRPr="00106D3A">
        <w:rPr>
          <w:rFonts w:hint="cs"/>
          <w:sz w:val="24"/>
          <w:rtl/>
        </w:rPr>
        <w:t xml:space="preserve">במובן זה, ערכאות הדיון הן מסגרת ממוסדת מפותחת ונגישה מאוד, שבה יכולים אנשים לממש את השתתפותם </w:t>
      </w:r>
      <w:r w:rsidR="00B458B8" w:rsidRPr="00106D3A">
        <w:rPr>
          <w:rFonts w:hint="cs"/>
          <w:sz w:val="24"/>
          <w:rtl/>
        </w:rPr>
        <w:t>הדמוקרטית כאזרחים</w:t>
      </w:r>
      <w:r w:rsidR="00F6092B" w:rsidRPr="00106D3A">
        <w:rPr>
          <w:rFonts w:hint="cs"/>
          <w:sz w:val="24"/>
          <w:rtl/>
        </w:rPr>
        <w:t xml:space="preserve"> באמצעות התדיינות </w:t>
      </w:r>
      <w:r w:rsidR="00B458B8" w:rsidRPr="00106D3A">
        <w:rPr>
          <w:sz w:val="24"/>
          <w:rtl/>
        </w:rPr>
        <w:t>–</w:t>
      </w:r>
      <w:r w:rsidR="00B458B8" w:rsidRPr="00106D3A">
        <w:rPr>
          <w:rFonts w:hint="cs"/>
          <w:sz w:val="24"/>
          <w:rtl/>
        </w:rPr>
        <w:t xml:space="preserve"> בעלת השפעה ישירה על אופן הפעלת כוחה הכופה של המדינה </w:t>
      </w:r>
      <w:r w:rsidR="00B458B8" w:rsidRPr="00106D3A">
        <w:rPr>
          <w:sz w:val="24"/>
          <w:rtl/>
        </w:rPr>
        <w:t>–</w:t>
      </w:r>
      <w:r w:rsidR="00B458B8" w:rsidRPr="00106D3A">
        <w:rPr>
          <w:rFonts w:hint="cs"/>
          <w:sz w:val="24"/>
          <w:rtl/>
        </w:rPr>
        <w:t xml:space="preserve"> </w:t>
      </w:r>
      <w:r w:rsidR="00F6092B" w:rsidRPr="00106D3A">
        <w:rPr>
          <w:rFonts w:hint="cs"/>
          <w:sz w:val="24"/>
          <w:rtl/>
        </w:rPr>
        <w:t xml:space="preserve">על מהותו </w:t>
      </w:r>
      <w:r w:rsidR="00F16176" w:rsidRPr="00106D3A">
        <w:rPr>
          <w:rFonts w:hint="cs"/>
          <w:sz w:val="24"/>
          <w:rtl/>
        </w:rPr>
        <w:t xml:space="preserve">של </w:t>
      </w:r>
      <w:r w:rsidR="00B86AC0" w:rsidRPr="00106D3A">
        <w:rPr>
          <w:rFonts w:hint="cs"/>
          <w:sz w:val="24"/>
          <w:rtl/>
        </w:rPr>
        <w:t>המשטר ה</w:t>
      </w:r>
      <w:r w:rsidR="00B458B8" w:rsidRPr="00106D3A">
        <w:rPr>
          <w:rFonts w:hint="cs"/>
          <w:sz w:val="24"/>
          <w:rtl/>
        </w:rPr>
        <w:t>משפט</w:t>
      </w:r>
      <w:r w:rsidR="00B86AC0" w:rsidRPr="00106D3A">
        <w:rPr>
          <w:rFonts w:hint="cs"/>
          <w:sz w:val="24"/>
          <w:rtl/>
        </w:rPr>
        <w:t>י</w:t>
      </w:r>
      <w:r w:rsidR="00B458B8" w:rsidRPr="00106D3A">
        <w:rPr>
          <w:rFonts w:hint="cs"/>
          <w:sz w:val="24"/>
          <w:rtl/>
        </w:rPr>
        <w:t>.</w:t>
      </w:r>
      <w:r w:rsidR="006D6B85" w:rsidRPr="00106D3A">
        <w:rPr>
          <w:rStyle w:val="FootnoteReference"/>
          <w:sz w:val="24"/>
          <w:rtl/>
        </w:rPr>
        <w:footnoteReference w:id="89"/>
      </w:r>
      <w:r w:rsidR="00B458B8" w:rsidRPr="00106D3A">
        <w:rPr>
          <w:rFonts w:hint="cs"/>
          <w:sz w:val="24"/>
          <w:rtl/>
        </w:rPr>
        <w:t xml:space="preserve"> </w:t>
      </w:r>
      <w:r w:rsidR="00FD0CAC" w:rsidRPr="00106D3A">
        <w:rPr>
          <w:rFonts w:hint="cs"/>
          <w:sz w:val="24"/>
          <w:rtl/>
        </w:rPr>
        <w:t>פוטנציאל זה מצטמצם והולך</w:t>
      </w:r>
      <w:r w:rsidR="004F651D" w:rsidRPr="00106D3A">
        <w:rPr>
          <w:rFonts w:hint="cs"/>
          <w:sz w:val="24"/>
          <w:rtl/>
        </w:rPr>
        <w:t xml:space="preserve"> ככל שההליכים מטפסים בערכאות. אמנם </w:t>
      </w:r>
      <w:r w:rsidR="00FD0CAC" w:rsidRPr="00106D3A">
        <w:rPr>
          <w:rFonts w:hint="cs"/>
          <w:sz w:val="24"/>
          <w:rtl/>
        </w:rPr>
        <w:t xml:space="preserve">בערעור הדיון מתמקד באופן טיפוסי בעיקר בשאלות משפטיות (ולכן ערכיות); אך ככל שעולים בהיררכיה השיפוטית מספר ההתדיינויות מצטמצם, כך גם כמות השופטים ואף </w:t>
      </w:r>
      <w:r w:rsidR="006505B1" w:rsidRPr="00106D3A">
        <w:rPr>
          <w:rFonts w:hint="cs"/>
          <w:sz w:val="24"/>
          <w:rtl/>
        </w:rPr>
        <w:t xml:space="preserve">כמות עורכי הדין המייצגים. </w:t>
      </w:r>
      <w:r w:rsidR="001858A9" w:rsidRPr="00106D3A">
        <w:rPr>
          <w:rFonts w:hint="cs"/>
          <w:sz w:val="24"/>
          <w:rtl/>
        </w:rPr>
        <w:t xml:space="preserve">הערעור הוא בהגדרה מסגרת מוסדית אליטיסטית יותר, </w:t>
      </w:r>
      <w:r w:rsidR="0088513B" w:rsidRPr="00106D3A">
        <w:rPr>
          <w:rFonts w:hint="cs"/>
          <w:sz w:val="24"/>
          <w:rtl/>
        </w:rPr>
        <w:t xml:space="preserve">שבה המקום להשתתפות אזרחית ישירה </w:t>
      </w:r>
      <w:r w:rsidR="0088513B" w:rsidRPr="00106D3A">
        <w:rPr>
          <w:sz w:val="24"/>
          <w:rtl/>
        </w:rPr>
        <w:t>–</w:t>
      </w:r>
      <w:r w:rsidR="0088513B" w:rsidRPr="00106D3A">
        <w:rPr>
          <w:rFonts w:hint="cs"/>
          <w:sz w:val="24"/>
          <w:rtl/>
        </w:rPr>
        <w:t xml:space="preserve"> יכולתו </w:t>
      </w:r>
      <w:r w:rsidR="00A37E76" w:rsidRPr="00106D3A">
        <w:rPr>
          <w:rFonts w:hint="cs"/>
          <w:sz w:val="24"/>
          <w:rtl/>
        </w:rPr>
        <w:t>של היחיד לטעון את טענתו ביחס לנורמה המשפטית הראויה</w:t>
      </w:r>
      <w:r w:rsidR="00AE253C" w:rsidRPr="00106D3A">
        <w:rPr>
          <w:rFonts w:hint="cs"/>
          <w:sz w:val="24"/>
          <w:rtl/>
        </w:rPr>
        <w:t xml:space="preserve"> ולקבל לה מענה</w:t>
      </w:r>
      <w:r w:rsidR="00A37E76" w:rsidRPr="00106D3A">
        <w:rPr>
          <w:rFonts w:hint="cs"/>
          <w:sz w:val="24"/>
          <w:rtl/>
        </w:rPr>
        <w:t xml:space="preserve"> </w:t>
      </w:r>
      <w:r w:rsidR="00A37E76" w:rsidRPr="00106D3A">
        <w:rPr>
          <w:sz w:val="24"/>
          <w:rtl/>
        </w:rPr>
        <w:t>–</w:t>
      </w:r>
      <w:r w:rsidR="00A37E76" w:rsidRPr="00106D3A">
        <w:rPr>
          <w:rFonts w:hint="cs"/>
          <w:sz w:val="24"/>
          <w:rtl/>
        </w:rPr>
        <w:t xml:space="preserve"> פחו</w:t>
      </w:r>
      <w:r w:rsidR="00723840" w:rsidRPr="00106D3A">
        <w:rPr>
          <w:rFonts w:hint="cs"/>
          <w:sz w:val="24"/>
          <w:rtl/>
        </w:rPr>
        <w:t>ּ</w:t>
      </w:r>
      <w:r w:rsidR="00A37E76" w:rsidRPr="00106D3A">
        <w:rPr>
          <w:rFonts w:hint="cs"/>
          <w:sz w:val="24"/>
          <w:rtl/>
        </w:rPr>
        <w:t xml:space="preserve">ת </w:t>
      </w:r>
      <w:r w:rsidR="00723840" w:rsidRPr="00106D3A">
        <w:rPr>
          <w:rFonts w:hint="cs"/>
          <w:sz w:val="24"/>
          <w:rtl/>
        </w:rPr>
        <w:t>ביחס ל</w:t>
      </w:r>
      <w:r w:rsidR="00A37E76" w:rsidRPr="00106D3A">
        <w:rPr>
          <w:rFonts w:hint="cs"/>
          <w:sz w:val="24"/>
          <w:rtl/>
        </w:rPr>
        <w:t xml:space="preserve">ערכאת הדיון. </w:t>
      </w:r>
      <w:r w:rsidR="00CC10A4" w:rsidRPr="00106D3A">
        <w:rPr>
          <w:rFonts w:hint="cs"/>
          <w:sz w:val="24"/>
          <w:rtl/>
        </w:rPr>
        <w:t xml:space="preserve">ומשערכאות הערעור טרודות ביצירת תקדימים מנחים או מחייבים, </w:t>
      </w:r>
      <w:r w:rsidR="0021282E" w:rsidRPr="00106D3A">
        <w:rPr>
          <w:rFonts w:hint="cs"/>
          <w:sz w:val="24"/>
          <w:rtl/>
        </w:rPr>
        <w:t>הרי</w:t>
      </w:r>
      <w:r w:rsidR="00CC10A4" w:rsidRPr="00106D3A">
        <w:rPr>
          <w:rFonts w:hint="cs"/>
          <w:sz w:val="24"/>
          <w:rtl/>
        </w:rPr>
        <w:t xml:space="preserve"> </w:t>
      </w:r>
      <w:r w:rsidR="0021282E" w:rsidRPr="00106D3A">
        <w:rPr>
          <w:rFonts w:hint="cs"/>
          <w:sz w:val="24"/>
          <w:rtl/>
        </w:rPr>
        <w:t xml:space="preserve">שמוקד הדיון בהן הוא בראש ובראשונה בקביעת הכלל המשפטי, ולא בעצם </w:t>
      </w:r>
      <w:r w:rsidR="00932DF8" w:rsidRPr="00106D3A">
        <w:rPr>
          <w:rFonts w:hint="cs"/>
          <w:sz w:val="24"/>
          <w:rtl/>
        </w:rPr>
        <w:t>ה</w:t>
      </w:r>
      <w:r w:rsidR="0021282E" w:rsidRPr="00106D3A">
        <w:rPr>
          <w:rFonts w:hint="cs"/>
          <w:sz w:val="24"/>
          <w:rtl/>
        </w:rPr>
        <w:t xml:space="preserve">התדיינות אודותיו.  </w:t>
      </w:r>
      <w:r w:rsidR="00CC10A4" w:rsidRPr="00106D3A">
        <w:rPr>
          <w:rFonts w:hint="cs"/>
          <w:sz w:val="24"/>
          <w:rtl/>
        </w:rPr>
        <w:t xml:space="preserve"> </w:t>
      </w:r>
    </w:p>
    <w:p w:rsidR="001D3C8E" w:rsidRPr="00106D3A" w:rsidRDefault="00092859" w:rsidP="008D384A">
      <w:pPr>
        <w:ind w:firstLine="720"/>
        <w:jc w:val="both"/>
        <w:rPr>
          <w:sz w:val="24"/>
          <w:rtl/>
        </w:rPr>
      </w:pPr>
      <w:r w:rsidRPr="00106D3A">
        <w:rPr>
          <w:rFonts w:hint="cs"/>
          <w:sz w:val="24"/>
          <w:rtl/>
        </w:rPr>
        <w:t>מעבר לכך, עצם העובדה שערכאות הדיון הן רבות</w:t>
      </w:r>
      <w:r w:rsidR="00A815E7" w:rsidRPr="00106D3A">
        <w:rPr>
          <w:rFonts w:hint="cs"/>
          <w:sz w:val="24"/>
          <w:rtl/>
        </w:rPr>
        <w:t>, פועלות (בדרך כלל) בדן-יחיד,</w:t>
      </w:r>
      <w:r w:rsidRPr="00106D3A">
        <w:rPr>
          <w:rFonts w:hint="cs"/>
          <w:sz w:val="24"/>
          <w:rtl/>
        </w:rPr>
        <w:t xml:space="preserve"> ופזורות </w:t>
      </w:r>
      <w:r w:rsidR="009E068C" w:rsidRPr="00106D3A">
        <w:rPr>
          <w:rFonts w:hint="cs"/>
          <w:sz w:val="24"/>
          <w:rtl/>
        </w:rPr>
        <w:t>ברחבי הארץ</w:t>
      </w:r>
      <w:r w:rsidR="009C396E" w:rsidRPr="00106D3A">
        <w:rPr>
          <w:rFonts w:hint="cs"/>
          <w:sz w:val="24"/>
          <w:rtl/>
        </w:rPr>
        <w:t>,</w:t>
      </w:r>
      <w:r w:rsidR="009E068C" w:rsidRPr="00106D3A">
        <w:rPr>
          <w:rFonts w:hint="cs"/>
          <w:sz w:val="24"/>
          <w:rtl/>
        </w:rPr>
        <w:t xml:space="preserve"> </w:t>
      </w:r>
      <w:r w:rsidR="00A815E7" w:rsidRPr="00106D3A">
        <w:rPr>
          <w:rFonts w:hint="cs"/>
          <w:sz w:val="24"/>
          <w:rtl/>
        </w:rPr>
        <w:t xml:space="preserve">מבטיחה לנעשה בהן אופי פלורליסטי יותר מאשר ההליכים </w:t>
      </w:r>
      <w:r w:rsidR="009C396E" w:rsidRPr="00106D3A">
        <w:rPr>
          <w:rFonts w:hint="cs"/>
          <w:sz w:val="24"/>
          <w:rtl/>
        </w:rPr>
        <w:t xml:space="preserve">המתרכזים בערכאות </w:t>
      </w:r>
      <w:r w:rsidR="00A815E7" w:rsidRPr="00106D3A">
        <w:rPr>
          <w:rFonts w:hint="cs"/>
          <w:sz w:val="24"/>
          <w:rtl/>
        </w:rPr>
        <w:t>גבוהות</w:t>
      </w:r>
      <w:r w:rsidR="00565988" w:rsidRPr="00106D3A">
        <w:rPr>
          <w:rFonts w:hint="cs"/>
          <w:sz w:val="24"/>
          <w:rtl/>
        </w:rPr>
        <w:t>. לערכאות ערעור (ולערכאות חוקתיות) תחול</w:t>
      </w:r>
      <w:r w:rsidR="0051174F" w:rsidRPr="00106D3A">
        <w:rPr>
          <w:rFonts w:hint="cs"/>
          <w:sz w:val="24"/>
          <w:rtl/>
        </w:rPr>
        <w:t xml:space="preserve">ה על-אזורית, והן יושבות בהרכבים </w:t>
      </w:r>
      <w:r w:rsidR="00363DDE" w:rsidRPr="00106D3A">
        <w:rPr>
          <w:rFonts w:hint="cs"/>
          <w:sz w:val="24"/>
          <w:rtl/>
        </w:rPr>
        <w:t>שגורמים למיתון עמדות חריגות ולמיצוע התוצר השיפוטי.</w:t>
      </w:r>
      <w:r w:rsidR="0051174F" w:rsidRPr="00106D3A">
        <w:rPr>
          <w:rFonts w:hint="cs"/>
          <w:sz w:val="24"/>
          <w:rtl/>
        </w:rPr>
        <w:t xml:space="preserve"> </w:t>
      </w:r>
      <w:r w:rsidR="00D86C62" w:rsidRPr="00106D3A">
        <w:rPr>
          <w:rFonts w:hint="cs"/>
          <w:sz w:val="24"/>
          <w:rtl/>
        </w:rPr>
        <w:t xml:space="preserve">לעומת זאת, </w:t>
      </w:r>
      <w:r w:rsidR="0095083B" w:rsidRPr="00106D3A">
        <w:rPr>
          <w:rFonts w:hint="cs"/>
          <w:sz w:val="24"/>
          <w:rtl/>
        </w:rPr>
        <w:t xml:space="preserve">ההקשר המקומי </w:t>
      </w:r>
      <w:r w:rsidR="00D86C62" w:rsidRPr="00106D3A">
        <w:rPr>
          <w:rFonts w:hint="cs"/>
          <w:sz w:val="24"/>
          <w:rtl/>
        </w:rPr>
        <w:t xml:space="preserve">והקונקרטי </w:t>
      </w:r>
      <w:r w:rsidR="0095083B" w:rsidRPr="00106D3A">
        <w:rPr>
          <w:rFonts w:hint="cs"/>
          <w:sz w:val="24"/>
          <w:rtl/>
        </w:rPr>
        <w:t xml:space="preserve">של השפיטה בבתי המשפט הנמוכים, </w:t>
      </w:r>
      <w:r w:rsidR="00D86C62" w:rsidRPr="00106D3A">
        <w:rPr>
          <w:rFonts w:hint="cs"/>
          <w:sz w:val="24"/>
          <w:rtl/>
        </w:rPr>
        <w:t>התחולה המוגבלת של החלטותיהם</w:t>
      </w:r>
      <w:r w:rsidR="008B2C76" w:rsidRPr="00106D3A">
        <w:rPr>
          <w:rFonts w:hint="cs"/>
          <w:sz w:val="24"/>
          <w:rtl/>
        </w:rPr>
        <w:t>,</w:t>
      </w:r>
      <w:r w:rsidR="00D86C62" w:rsidRPr="00106D3A">
        <w:rPr>
          <w:rFonts w:hint="cs"/>
          <w:sz w:val="24"/>
          <w:rtl/>
        </w:rPr>
        <w:t xml:space="preserve"> עלות הטעות הנמוכה שנגזרת מתחולה מוגבלת זו, </w:t>
      </w:r>
      <w:r w:rsidR="0095083B" w:rsidRPr="00106D3A">
        <w:rPr>
          <w:rFonts w:hint="cs"/>
          <w:sz w:val="24"/>
          <w:rtl/>
        </w:rPr>
        <w:t xml:space="preserve">והעובדה שרוב החלטותיה של ערכאת הדיון לא יהיו כפופות בסופו של יום לביקורת </w:t>
      </w:r>
      <w:proofErr w:type="spellStart"/>
      <w:r w:rsidR="0095083B" w:rsidRPr="00106D3A">
        <w:rPr>
          <w:rFonts w:hint="cs"/>
          <w:sz w:val="24"/>
          <w:rtl/>
        </w:rPr>
        <w:t>ערעורית</w:t>
      </w:r>
      <w:proofErr w:type="spellEnd"/>
      <w:r w:rsidR="0095083B" w:rsidRPr="00106D3A">
        <w:rPr>
          <w:rFonts w:hint="cs"/>
          <w:sz w:val="24"/>
          <w:rtl/>
        </w:rPr>
        <w:t xml:space="preserve"> אפקטיבית </w:t>
      </w:r>
      <w:r w:rsidR="00D86C62" w:rsidRPr="00106D3A">
        <w:rPr>
          <w:sz w:val="24"/>
          <w:rtl/>
        </w:rPr>
        <w:t>–</w:t>
      </w:r>
      <w:r w:rsidR="00D86C62" w:rsidRPr="00106D3A">
        <w:rPr>
          <w:rFonts w:hint="cs"/>
          <w:sz w:val="24"/>
          <w:rtl/>
        </w:rPr>
        <w:t xml:space="preserve"> כל אלה </w:t>
      </w:r>
      <w:r w:rsidR="0071497F" w:rsidRPr="00106D3A">
        <w:rPr>
          <w:rFonts w:hint="cs"/>
          <w:sz w:val="24"/>
          <w:rtl/>
        </w:rPr>
        <w:t xml:space="preserve">הופכים את המשפט בערכאת הדיון לזירה שמאפשרת </w:t>
      </w:r>
      <w:proofErr w:type="spellStart"/>
      <w:r w:rsidR="0071497F" w:rsidRPr="00106D3A">
        <w:rPr>
          <w:rFonts w:hint="cs"/>
          <w:sz w:val="24"/>
          <w:rtl/>
        </w:rPr>
        <w:t>נסיינות</w:t>
      </w:r>
      <w:proofErr w:type="spellEnd"/>
      <w:r w:rsidR="0071497F" w:rsidRPr="00106D3A">
        <w:rPr>
          <w:rFonts w:hint="cs"/>
          <w:sz w:val="24"/>
          <w:rtl/>
        </w:rPr>
        <w:t xml:space="preserve"> וחדשנות בפיתוח רעיונות משפטיים </w:t>
      </w:r>
      <w:r w:rsidR="001206BE" w:rsidRPr="00106D3A">
        <w:rPr>
          <w:rFonts w:hint="cs"/>
          <w:sz w:val="24"/>
          <w:rtl/>
        </w:rPr>
        <w:t>ומ</w:t>
      </w:r>
      <w:r w:rsidR="009551F7" w:rsidRPr="00106D3A">
        <w:rPr>
          <w:rFonts w:hint="cs"/>
          <w:sz w:val="24"/>
          <w:rtl/>
        </w:rPr>
        <w:t>הל</w:t>
      </w:r>
      <w:r w:rsidR="001206BE" w:rsidRPr="00106D3A">
        <w:rPr>
          <w:rFonts w:hint="cs"/>
          <w:sz w:val="24"/>
          <w:rtl/>
        </w:rPr>
        <w:t xml:space="preserve">כים פרשניים. </w:t>
      </w:r>
      <w:r w:rsidR="001D3C8E" w:rsidRPr="00106D3A">
        <w:rPr>
          <w:rFonts w:hint="cs"/>
          <w:sz w:val="24"/>
          <w:rtl/>
        </w:rPr>
        <w:t xml:space="preserve">בשונה מבית המשפט העליון, הערכאות הנמוכות שפועלות במקביל </w:t>
      </w:r>
      <w:r w:rsidR="008D384A" w:rsidRPr="00106D3A">
        <w:rPr>
          <w:rFonts w:hint="cs"/>
          <w:sz w:val="24"/>
          <w:rtl/>
        </w:rPr>
        <w:t xml:space="preserve">זו לזו </w:t>
      </w:r>
      <w:r w:rsidR="001D3C8E" w:rsidRPr="00106D3A">
        <w:rPr>
          <w:rFonts w:hint="cs"/>
          <w:sz w:val="24"/>
          <w:rtl/>
        </w:rPr>
        <w:t xml:space="preserve">נחשפות לאורך זמן למגוון של נסיבות בהן מופעלת נורמה משפטית, שומעות טיעונים מגוונים בשאלות משפטיות דומות, ויכולות לתת פתרונות שונים לאותן שאלות </w:t>
      </w:r>
      <w:r w:rsidR="001D3C8E" w:rsidRPr="00106D3A">
        <w:rPr>
          <w:sz w:val="24"/>
          <w:rtl/>
        </w:rPr>
        <w:t>–</w:t>
      </w:r>
      <w:r w:rsidR="001D3C8E" w:rsidRPr="00106D3A">
        <w:rPr>
          <w:rFonts w:hint="cs"/>
          <w:sz w:val="24"/>
          <w:rtl/>
        </w:rPr>
        <w:t xml:space="preserve"> באמצעות גישות פרשניות שונות, יישומים שונים של הדין, או מתן סעדים שונים. </w:t>
      </w:r>
      <w:r w:rsidR="00E01E0C" w:rsidRPr="00106D3A">
        <w:rPr>
          <w:rFonts w:hint="cs"/>
          <w:sz w:val="24"/>
          <w:rtl/>
        </w:rPr>
        <w:t>הן מהוות שדה שתיתכן בו סתירה אך מתקיימים בו גם גיוון, השוואה ולימוד.</w:t>
      </w:r>
      <w:r w:rsidR="00761BB7">
        <w:rPr>
          <w:rStyle w:val="FootnoteReference"/>
          <w:sz w:val="24"/>
          <w:rtl/>
        </w:rPr>
        <w:footnoteReference w:id="90"/>
      </w:r>
      <w:r w:rsidR="00E01E0C" w:rsidRPr="00106D3A">
        <w:rPr>
          <w:rFonts w:hint="cs"/>
          <w:sz w:val="24"/>
          <w:rtl/>
        </w:rPr>
        <w:t xml:space="preserve"> </w:t>
      </w:r>
    </w:p>
    <w:p w:rsidR="0023034B" w:rsidRPr="00106D3A" w:rsidRDefault="00C50C01" w:rsidP="009815AF">
      <w:pPr>
        <w:ind w:firstLine="720"/>
        <w:jc w:val="both"/>
        <w:rPr>
          <w:sz w:val="24"/>
          <w:rtl/>
        </w:rPr>
      </w:pPr>
      <w:r w:rsidRPr="00106D3A">
        <w:rPr>
          <w:rFonts w:hint="cs"/>
          <w:sz w:val="24"/>
          <w:rtl/>
        </w:rPr>
        <w:t>כמובן, ערכאות הדי</w:t>
      </w:r>
      <w:r w:rsidR="00A07A71" w:rsidRPr="00106D3A">
        <w:rPr>
          <w:rFonts w:hint="cs"/>
          <w:sz w:val="24"/>
          <w:rtl/>
        </w:rPr>
        <w:t>ון</w:t>
      </w:r>
      <w:r w:rsidRPr="00106D3A">
        <w:rPr>
          <w:rFonts w:hint="cs"/>
          <w:sz w:val="24"/>
          <w:rtl/>
        </w:rPr>
        <w:t xml:space="preserve"> כפופות </w:t>
      </w:r>
      <w:r w:rsidR="00685C44" w:rsidRPr="00106D3A">
        <w:rPr>
          <w:rFonts w:hint="cs"/>
          <w:sz w:val="24"/>
          <w:rtl/>
        </w:rPr>
        <w:t>באופן פורמא</w:t>
      </w:r>
      <w:r w:rsidR="00A07A71" w:rsidRPr="00106D3A">
        <w:rPr>
          <w:rFonts w:hint="cs"/>
          <w:sz w:val="24"/>
          <w:rtl/>
        </w:rPr>
        <w:t xml:space="preserve">לי </w:t>
      </w:r>
      <w:r w:rsidR="00685C44" w:rsidRPr="00106D3A">
        <w:rPr>
          <w:rFonts w:hint="cs"/>
          <w:sz w:val="24"/>
          <w:rtl/>
        </w:rPr>
        <w:t xml:space="preserve">למשטר של תקדימים מנחים ומחייבים ולכן אינן חופשיות לעשות כרצונן. אך </w:t>
      </w:r>
      <w:r w:rsidR="00C3756B" w:rsidRPr="00106D3A">
        <w:rPr>
          <w:rFonts w:hint="cs"/>
          <w:sz w:val="24"/>
          <w:rtl/>
        </w:rPr>
        <w:t xml:space="preserve">יש להדגיש כמה </w:t>
      </w:r>
      <w:r w:rsidR="00A74076" w:rsidRPr="00106D3A">
        <w:rPr>
          <w:rFonts w:hint="cs"/>
          <w:sz w:val="24"/>
          <w:rtl/>
        </w:rPr>
        <w:t xml:space="preserve">סייגים </w:t>
      </w:r>
      <w:r w:rsidR="009E576E" w:rsidRPr="00106D3A">
        <w:rPr>
          <w:rFonts w:hint="cs"/>
          <w:sz w:val="24"/>
          <w:rtl/>
        </w:rPr>
        <w:t xml:space="preserve">ביחס למשמעותו של </w:t>
      </w:r>
      <w:r w:rsidR="00AD0A1E" w:rsidRPr="00106D3A">
        <w:rPr>
          <w:rFonts w:hint="cs"/>
          <w:sz w:val="24"/>
          <w:rtl/>
        </w:rPr>
        <w:t xml:space="preserve">עקרון </w:t>
      </w:r>
      <w:r w:rsidR="009E576E" w:rsidRPr="00106D3A">
        <w:rPr>
          <w:rFonts w:hint="cs"/>
          <w:sz w:val="24"/>
          <w:rtl/>
        </w:rPr>
        <w:t>התקדים כמגביל את היצירתיות של ערכאות הדיון. ראשית, ה</w:t>
      </w:r>
      <w:r w:rsidR="00685C44" w:rsidRPr="00106D3A">
        <w:rPr>
          <w:rFonts w:hint="cs"/>
          <w:sz w:val="24"/>
          <w:rtl/>
        </w:rPr>
        <w:t>תקדים רלוונטי רק כאשר הוא קיים</w:t>
      </w:r>
      <w:r w:rsidR="00015F0D" w:rsidRPr="00106D3A">
        <w:rPr>
          <w:rFonts w:hint="cs"/>
          <w:sz w:val="24"/>
          <w:rtl/>
        </w:rPr>
        <w:t>.</w:t>
      </w:r>
      <w:r w:rsidR="00685C44" w:rsidRPr="00106D3A">
        <w:rPr>
          <w:rFonts w:hint="cs"/>
          <w:sz w:val="24"/>
          <w:rtl/>
        </w:rPr>
        <w:t xml:space="preserve"> בשאלות חדשות של פרשנות שמתעוררות כל העת לנוכח התחדשותם התמידית של החיים </w:t>
      </w:r>
      <w:r w:rsidR="00685C44" w:rsidRPr="00106D3A">
        <w:rPr>
          <w:rFonts w:hint="cs"/>
          <w:sz w:val="24"/>
          <w:rtl/>
        </w:rPr>
        <w:lastRenderedPageBreak/>
        <w:t xml:space="preserve">החברתיים, הכלכליים </w:t>
      </w:r>
      <w:r w:rsidR="00580B8C" w:rsidRPr="00106D3A">
        <w:rPr>
          <w:rFonts w:hint="cs"/>
          <w:sz w:val="24"/>
          <w:rtl/>
        </w:rPr>
        <w:t>והטכנולוגיים, ערכאות הדיון פועלות מתחילה ללא הנחיה מגבוה.</w:t>
      </w:r>
      <w:r w:rsidR="00B74E8D" w:rsidRPr="00106D3A">
        <w:rPr>
          <w:rStyle w:val="FootnoteReference"/>
          <w:sz w:val="24"/>
          <w:rtl/>
        </w:rPr>
        <w:footnoteReference w:id="91"/>
      </w:r>
      <w:r w:rsidR="00580B8C" w:rsidRPr="00106D3A">
        <w:rPr>
          <w:rFonts w:hint="cs"/>
          <w:sz w:val="24"/>
          <w:rtl/>
        </w:rPr>
        <w:t xml:space="preserve"> </w:t>
      </w:r>
      <w:r w:rsidR="0068625F" w:rsidRPr="00106D3A">
        <w:rPr>
          <w:rFonts w:hint="cs"/>
          <w:sz w:val="24"/>
          <w:rtl/>
        </w:rPr>
        <w:t xml:space="preserve">שנית, כידוע לרשותן של ערכאות הדיון עומד מערך מגוון של אסטרטגיות המאפשרות </w:t>
      </w:r>
      <w:r w:rsidR="00095C69" w:rsidRPr="00106D3A">
        <w:rPr>
          <w:rFonts w:hint="cs"/>
          <w:sz w:val="24"/>
          <w:rtl/>
        </w:rPr>
        <w:t xml:space="preserve">להן להימנע מיישום דווקני של מה שנדמה כהנחיה תקדימית קיימת. </w:t>
      </w:r>
      <w:r w:rsidR="00A2559E" w:rsidRPr="00106D3A">
        <w:rPr>
          <w:rFonts w:hint="cs"/>
          <w:sz w:val="24"/>
          <w:rtl/>
        </w:rPr>
        <w:t xml:space="preserve">טכניקות של </w:t>
      </w:r>
      <w:r w:rsidR="00644595" w:rsidRPr="00106D3A">
        <w:rPr>
          <w:rFonts w:hint="cs"/>
          <w:sz w:val="24"/>
          <w:rtl/>
        </w:rPr>
        <w:t xml:space="preserve">הבחנה בין </w:t>
      </w:r>
      <w:r w:rsidR="00A2559E" w:rsidRPr="00106D3A">
        <w:rPr>
          <w:rFonts w:hint="cs"/>
          <w:sz w:val="24"/>
          <w:rtl/>
        </w:rPr>
        <w:t>רציו</w:t>
      </w:r>
      <w:r w:rsidR="00D22FAA" w:rsidRPr="00106D3A">
        <w:rPr>
          <w:rFonts w:hint="cs"/>
          <w:sz w:val="24"/>
          <w:rtl/>
        </w:rPr>
        <w:t xml:space="preserve"> </w:t>
      </w:r>
      <w:proofErr w:type="spellStart"/>
      <w:r w:rsidR="00D22FAA" w:rsidRPr="00106D3A">
        <w:rPr>
          <w:rFonts w:hint="cs"/>
          <w:sz w:val="24"/>
          <w:rtl/>
        </w:rPr>
        <w:t>ואוביטר</w:t>
      </w:r>
      <w:proofErr w:type="spellEnd"/>
      <w:r w:rsidR="00A2559E" w:rsidRPr="00106D3A">
        <w:rPr>
          <w:rFonts w:hint="cs"/>
          <w:sz w:val="24"/>
          <w:rtl/>
        </w:rPr>
        <w:t>, של אבחון</w:t>
      </w:r>
      <w:r w:rsidR="00D22FAA" w:rsidRPr="00106D3A">
        <w:rPr>
          <w:rFonts w:hint="cs"/>
          <w:sz w:val="24"/>
          <w:rtl/>
        </w:rPr>
        <w:t xml:space="preserve"> לאור הנסיבות</w:t>
      </w:r>
      <w:r w:rsidR="00A2559E" w:rsidRPr="00106D3A">
        <w:rPr>
          <w:rFonts w:hint="cs"/>
          <w:sz w:val="24"/>
          <w:rtl/>
        </w:rPr>
        <w:t>, ושל הגדרת שאלות כעובדתיות או משפטיות</w:t>
      </w:r>
      <w:r w:rsidR="00644595" w:rsidRPr="00106D3A">
        <w:rPr>
          <w:rFonts w:hint="cs"/>
          <w:sz w:val="24"/>
          <w:rtl/>
        </w:rPr>
        <w:t xml:space="preserve">, </w:t>
      </w:r>
      <w:r w:rsidR="00D22FAA" w:rsidRPr="00106D3A">
        <w:rPr>
          <w:rFonts w:hint="cs"/>
          <w:sz w:val="24"/>
          <w:rtl/>
        </w:rPr>
        <w:t xml:space="preserve">הן בין הדוגמאות המוכרות </w:t>
      </w:r>
      <w:r w:rsidR="004D065E" w:rsidRPr="00106D3A">
        <w:rPr>
          <w:rFonts w:hint="cs"/>
          <w:sz w:val="24"/>
          <w:rtl/>
        </w:rPr>
        <w:t>לכלים מסוג זה.</w:t>
      </w:r>
      <w:r w:rsidR="00775EC1" w:rsidRPr="00106D3A">
        <w:rPr>
          <w:rStyle w:val="FootnoteReference"/>
          <w:sz w:val="24"/>
          <w:rtl/>
        </w:rPr>
        <w:footnoteReference w:id="92"/>
      </w:r>
      <w:r w:rsidR="004D065E" w:rsidRPr="00106D3A">
        <w:rPr>
          <w:rFonts w:hint="cs"/>
          <w:sz w:val="24"/>
          <w:rtl/>
        </w:rPr>
        <w:t xml:space="preserve"> </w:t>
      </w:r>
      <w:r w:rsidR="00F00B6A" w:rsidRPr="00106D3A">
        <w:rPr>
          <w:rFonts w:hint="cs"/>
          <w:sz w:val="24"/>
          <w:rtl/>
        </w:rPr>
        <w:t xml:space="preserve">שלישית, </w:t>
      </w:r>
      <w:r w:rsidR="00AC5EEF" w:rsidRPr="00106D3A">
        <w:rPr>
          <w:rFonts w:hint="cs"/>
          <w:sz w:val="24"/>
          <w:rtl/>
        </w:rPr>
        <w:t>לערכאות הדיון יש גם כלים להתמודד עם תקדימים</w:t>
      </w:r>
      <w:r w:rsidR="00801497" w:rsidRPr="00106D3A">
        <w:rPr>
          <w:rFonts w:hint="cs"/>
          <w:sz w:val="24"/>
          <w:rtl/>
        </w:rPr>
        <w:t xml:space="preserve"> שאמנם מחייבים אותם, אך שלראייתן הם</w:t>
      </w:r>
      <w:r w:rsidR="00A9373B" w:rsidRPr="00106D3A">
        <w:rPr>
          <w:rFonts w:hint="cs"/>
          <w:sz w:val="24"/>
          <w:rtl/>
        </w:rPr>
        <w:t xml:space="preserve"> אינם נכונים או אינם רצויים</w:t>
      </w:r>
      <w:r w:rsidR="00801497" w:rsidRPr="00106D3A">
        <w:rPr>
          <w:rFonts w:hint="cs"/>
          <w:sz w:val="24"/>
          <w:rtl/>
        </w:rPr>
        <w:t xml:space="preserve">. </w:t>
      </w:r>
      <w:r w:rsidR="00A9373B" w:rsidRPr="00106D3A">
        <w:rPr>
          <w:rFonts w:hint="cs"/>
          <w:sz w:val="24"/>
          <w:rtl/>
        </w:rPr>
        <w:t>מהפרה בוטה במקרי קצה</w:t>
      </w:r>
      <w:r w:rsidR="0017295E" w:rsidRPr="00106D3A">
        <w:rPr>
          <w:rFonts w:hint="cs"/>
          <w:sz w:val="24"/>
          <w:rtl/>
        </w:rPr>
        <w:t xml:space="preserve"> (שכרוכה בסיכון אישי ומוסדי ברור)</w:t>
      </w:r>
      <w:r w:rsidR="00A9373B" w:rsidRPr="00106D3A">
        <w:rPr>
          <w:rFonts w:hint="cs"/>
          <w:sz w:val="24"/>
          <w:rtl/>
        </w:rPr>
        <w:t xml:space="preserve">, ועד הפרקטיקה המקובלת של יישום התקדים תוך "הבעת מחאה" על </w:t>
      </w:r>
      <w:r w:rsidR="00AA4D9B" w:rsidRPr="00106D3A">
        <w:rPr>
          <w:rFonts w:hint="cs"/>
          <w:sz w:val="24"/>
          <w:rtl/>
        </w:rPr>
        <w:t>תוצאותיו הפסולות (בתקווה לתיקון עתידי בערעור).</w:t>
      </w:r>
      <w:r w:rsidR="004E3EE3" w:rsidRPr="00106D3A">
        <w:rPr>
          <w:rStyle w:val="FootnoteReference"/>
          <w:sz w:val="24"/>
          <w:rtl/>
        </w:rPr>
        <w:footnoteReference w:id="93"/>
      </w:r>
      <w:r w:rsidR="006F55CD" w:rsidRPr="00106D3A">
        <w:rPr>
          <w:rFonts w:hint="cs"/>
          <w:sz w:val="24"/>
          <w:rtl/>
        </w:rPr>
        <w:t xml:space="preserve"> </w:t>
      </w:r>
      <w:r w:rsidR="00015F0D" w:rsidRPr="00106D3A">
        <w:rPr>
          <w:rFonts w:hint="cs"/>
          <w:sz w:val="24"/>
          <w:rtl/>
        </w:rPr>
        <w:t xml:space="preserve">רביעית, </w:t>
      </w:r>
      <w:r w:rsidR="0021061D" w:rsidRPr="00106D3A">
        <w:rPr>
          <w:rFonts w:hint="cs"/>
          <w:sz w:val="24"/>
          <w:rtl/>
        </w:rPr>
        <w:t xml:space="preserve">התקדים לא חייב לפתור את השאלה המשפטית אחת ולתמיד. הערכאה הקובעת תקדים יכולה להחליט, למשל, שראוי שבנושאים מסוימים יישאר לערכאת הדיון שיקול דעת מסוים בפירוש הדין ובהפעלתו. </w:t>
      </w:r>
      <w:r w:rsidR="004648B8" w:rsidRPr="00106D3A">
        <w:rPr>
          <w:rFonts w:hint="cs"/>
          <w:sz w:val="24"/>
          <w:rtl/>
        </w:rPr>
        <w:t xml:space="preserve">במחיר מסוים של ודאות ואחידות בדין מושגים יתרונות אחרים של רגישות הקשרית באכיפת הדין וכאמור, גם בעידוד של </w:t>
      </w:r>
      <w:proofErr w:type="spellStart"/>
      <w:r w:rsidR="004648B8" w:rsidRPr="00106D3A">
        <w:rPr>
          <w:rFonts w:hint="cs"/>
          <w:sz w:val="24"/>
          <w:rtl/>
        </w:rPr>
        <w:t>נסיינות</w:t>
      </w:r>
      <w:proofErr w:type="spellEnd"/>
      <w:r w:rsidR="004648B8" w:rsidRPr="00106D3A">
        <w:rPr>
          <w:rFonts w:hint="cs"/>
          <w:sz w:val="24"/>
          <w:rtl/>
        </w:rPr>
        <w:t xml:space="preserve"> וחדשנות. </w:t>
      </w:r>
    </w:p>
    <w:p w:rsidR="0023034B" w:rsidRPr="00106D3A" w:rsidRDefault="00F3089A" w:rsidP="00780616">
      <w:pPr>
        <w:ind w:firstLine="720"/>
        <w:jc w:val="both"/>
        <w:rPr>
          <w:sz w:val="24"/>
          <w:rtl/>
        </w:rPr>
      </w:pPr>
      <w:r w:rsidRPr="00106D3A">
        <w:rPr>
          <w:rFonts w:hint="cs"/>
          <w:sz w:val="24"/>
          <w:rtl/>
        </w:rPr>
        <w:t xml:space="preserve">אם אמנם </w:t>
      </w:r>
      <w:r w:rsidR="00474F1C" w:rsidRPr="00106D3A">
        <w:rPr>
          <w:rFonts w:hint="cs"/>
          <w:sz w:val="24"/>
          <w:rtl/>
        </w:rPr>
        <w:t>ההליך בערכא</w:t>
      </w:r>
      <w:r w:rsidR="00EC3B79" w:rsidRPr="00106D3A">
        <w:rPr>
          <w:rFonts w:hint="cs"/>
          <w:sz w:val="24"/>
          <w:rtl/>
        </w:rPr>
        <w:t xml:space="preserve">ת הדיון </w:t>
      </w:r>
      <w:r w:rsidR="00474F1C" w:rsidRPr="00106D3A">
        <w:rPr>
          <w:rFonts w:hint="cs"/>
          <w:sz w:val="24"/>
          <w:rtl/>
        </w:rPr>
        <w:t>מספק</w:t>
      </w:r>
      <w:r w:rsidR="00EC3B79" w:rsidRPr="00106D3A">
        <w:rPr>
          <w:rFonts w:hint="cs"/>
          <w:sz w:val="24"/>
          <w:rtl/>
        </w:rPr>
        <w:t xml:space="preserve"> תנאים מוסדיים ייחודיים </w:t>
      </w:r>
      <w:r w:rsidR="00511858" w:rsidRPr="00106D3A">
        <w:rPr>
          <w:rFonts w:hint="cs"/>
          <w:sz w:val="24"/>
          <w:rtl/>
        </w:rPr>
        <w:t>המשלבים השתתפות אזרחית, התדיינות מבוססת-טע</w:t>
      </w:r>
      <w:r w:rsidR="00474F1C" w:rsidRPr="00106D3A">
        <w:rPr>
          <w:rFonts w:hint="cs"/>
          <w:sz w:val="24"/>
          <w:rtl/>
        </w:rPr>
        <w:t>מי</w:t>
      </w:r>
      <w:r w:rsidR="00511858" w:rsidRPr="00106D3A">
        <w:rPr>
          <w:rFonts w:hint="cs"/>
          <w:sz w:val="24"/>
          <w:rtl/>
        </w:rPr>
        <w:t xml:space="preserve">ם, </w:t>
      </w:r>
      <w:r w:rsidR="00474F1C" w:rsidRPr="00106D3A">
        <w:rPr>
          <w:rFonts w:hint="cs"/>
          <w:sz w:val="24"/>
          <w:rtl/>
        </w:rPr>
        <w:t xml:space="preserve">גיוון ופלורליזם בקולות ובתוצאות, ויצירתיות </w:t>
      </w:r>
      <w:proofErr w:type="spellStart"/>
      <w:r w:rsidR="00A97D04" w:rsidRPr="00106D3A">
        <w:rPr>
          <w:rFonts w:hint="cs"/>
          <w:sz w:val="24"/>
          <w:rtl/>
        </w:rPr>
        <w:t>ונסיינות</w:t>
      </w:r>
      <w:proofErr w:type="spellEnd"/>
      <w:r w:rsidR="00A97D04" w:rsidRPr="00106D3A">
        <w:rPr>
          <w:rFonts w:hint="cs"/>
          <w:sz w:val="24"/>
          <w:rtl/>
        </w:rPr>
        <w:t xml:space="preserve"> בפיתוח הדין, הרי </w:t>
      </w:r>
      <w:r w:rsidR="005B44D7" w:rsidRPr="00106D3A">
        <w:rPr>
          <w:rFonts w:hint="cs"/>
          <w:sz w:val="24"/>
          <w:rtl/>
        </w:rPr>
        <w:t xml:space="preserve">שלגישות דמוקרטיות של ההליך החוקתי </w:t>
      </w:r>
      <w:r w:rsidR="007B492C" w:rsidRPr="00106D3A">
        <w:rPr>
          <w:rFonts w:hint="cs"/>
          <w:sz w:val="24"/>
          <w:rtl/>
        </w:rPr>
        <w:t xml:space="preserve">צריך להיות עניין מיוחד </w:t>
      </w:r>
      <w:r w:rsidR="006353D7" w:rsidRPr="00106D3A">
        <w:rPr>
          <w:rFonts w:hint="cs"/>
          <w:sz w:val="24"/>
          <w:rtl/>
        </w:rPr>
        <w:t xml:space="preserve">בנעשה בהן. </w:t>
      </w:r>
      <w:r w:rsidR="00C91CBB" w:rsidRPr="00106D3A">
        <w:rPr>
          <w:rFonts w:hint="cs"/>
          <w:sz w:val="24"/>
          <w:rtl/>
        </w:rPr>
        <w:t>כפי שראינו, לפי גישות אלה, הנורמה החוקתית</w:t>
      </w:r>
      <w:r w:rsidR="0060049F" w:rsidRPr="00106D3A">
        <w:rPr>
          <w:rFonts w:hint="cs"/>
          <w:sz w:val="24"/>
          <w:rtl/>
        </w:rPr>
        <w:t xml:space="preserve"> </w:t>
      </w:r>
      <w:r w:rsidR="0060049F" w:rsidRPr="00106D3A">
        <w:rPr>
          <w:sz w:val="24"/>
          <w:rtl/>
        </w:rPr>
        <w:t>–</w:t>
      </w:r>
      <w:r w:rsidR="00C91CBB" w:rsidRPr="00106D3A">
        <w:rPr>
          <w:rFonts w:hint="cs"/>
          <w:sz w:val="24"/>
          <w:rtl/>
        </w:rPr>
        <w:t xml:space="preserve"> אולי יותר מכל נורמה אחרת</w:t>
      </w:r>
      <w:r w:rsidR="0060049F" w:rsidRPr="00106D3A">
        <w:rPr>
          <w:rFonts w:hint="cs"/>
          <w:sz w:val="24"/>
          <w:rtl/>
        </w:rPr>
        <w:t xml:space="preserve"> </w:t>
      </w:r>
      <w:r w:rsidR="0060049F" w:rsidRPr="00106D3A">
        <w:rPr>
          <w:sz w:val="24"/>
          <w:rtl/>
        </w:rPr>
        <w:t>–</w:t>
      </w:r>
      <w:r w:rsidR="00C91CBB" w:rsidRPr="00106D3A">
        <w:rPr>
          <w:rFonts w:hint="cs"/>
          <w:sz w:val="24"/>
          <w:rtl/>
        </w:rPr>
        <w:t xml:space="preserve"> זקוקה לדינמיקה נמשכת של השתתפות והתדיינות כדי </w:t>
      </w:r>
      <w:r w:rsidR="00635B75" w:rsidRPr="00106D3A">
        <w:rPr>
          <w:rFonts w:hint="cs"/>
          <w:sz w:val="24"/>
          <w:rtl/>
        </w:rPr>
        <w:t xml:space="preserve">להישאר רלוונטית וכדי לממש את ייעודה של מתן מסגרת ערכית יציבה </w:t>
      </w:r>
      <w:r w:rsidR="00761BA3" w:rsidRPr="00106D3A">
        <w:rPr>
          <w:rFonts w:hint="cs"/>
          <w:sz w:val="24"/>
          <w:rtl/>
        </w:rPr>
        <w:t xml:space="preserve">ומוצדקת </w:t>
      </w:r>
      <w:r w:rsidR="00635B75" w:rsidRPr="00106D3A">
        <w:rPr>
          <w:rFonts w:hint="cs"/>
          <w:sz w:val="24"/>
          <w:rtl/>
        </w:rPr>
        <w:t xml:space="preserve">לחיים הפוליטיים של קהילה בזמן נתון. </w:t>
      </w:r>
      <w:r w:rsidR="00E9296A" w:rsidRPr="00106D3A">
        <w:rPr>
          <w:rFonts w:hint="cs"/>
          <w:sz w:val="24"/>
          <w:rtl/>
        </w:rPr>
        <w:t xml:space="preserve">החיפוש אחר מסגרות מוסדיות </w:t>
      </w:r>
      <w:r w:rsidR="00D56A1C" w:rsidRPr="00106D3A">
        <w:rPr>
          <w:rFonts w:hint="cs"/>
          <w:sz w:val="24"/>
          <w:rtl/>
        </w:rPr>
        <w:t xml:space="preserve">למימוש האידיאל הדמוקרטי של ההליך החוקתי </w:t>
      </w:r>
      <w:r w:rsidR="003101DD" w:rsidRPr="00106D3A">
        <w:rPr>
          <w:rFonts w:hint="cs"/>
          <w:sz w:val="24"/>
          <w:rtl/>
        </w:rPr>
        <w:t xml:space="preserve">יכול </w:t>
      </w:r>
      <w:r w:rsidR="00780616" w:rsidRPr="00106D3A">
        <w:rPr>
          <w:rFonts w:hint="cs"/>
          <w:sz w:val="24"/>
          <w:rtl/>
        </w:rPr>
        <w:t xml:space="preserve">למצוא מענה, ולו חלקי, </w:t>
      </w:r>
      <w:r w:rsidR="003101DD" w:rsidRPr="00106D3A">
        <w:rPr>
          <w:rFonts w:hint="cs"/>
          <w:sz w:val="24"/>
          <w:rtl/>
        </w:rPr>
        <w:t xml:space="preserve">בהתדיינות חוקתית בערכאות הדיון. </w:t>
      </w:r>
    </w:p>
    <w:p w:rsidR="009434C8" w:rsidRPr="00106D3A" w:rsidRDefault="009434C8" w:rsidP="003F7034">
      <w:pPr>
        <w:ind w:firstLine="720"/>
        <w:jc w:val="both"/>
        <w:rPr>
          <w:sz w:val="24"/>
          <w:rtl/>
        </w:rPr>
      </w:pPr>
      <w:r w:rsidRPr="00106D3A">
        <w:rPr>
          <w:rFonts w:hint="cs"/>
          <w:sz w:val="24"/>
          <w:rtl/>
        </w:rPr>
        <w:t xml:space="preserve">איני מעוניין לעשות כאן רומנטיזציה של ההליך בערכאות הדיון. המשפט הפלילי או התביעה הקטנה אינם סמינרים בתיאוריה פוליטית או בפילוסופיה של המוסר. בתי המשפט </w:t>
      </w:r>
      <w:r w:rsidRPr="00106D3A">
        <w:rPr>
          <w:sz w:val="24"/>
          <w:rtl/>
        </w:rPr>
        <w:t>–</w:t>
      </w:r>
      <w:r w:rsidRPr="00106D3A">
        <w:rPr>
          <w:rFonts w:hint="cs"/>
          <w:sz w:val="24"/>
          <w:rtl/>
        </w:rPr>
        <w:t xml:space="preserve"> ובעיקר ערכאות הדיון הנמוכות </w:t>
      </w:r>
      <w:r w:rsidRPr="00106D3A">
        <w:rPr>
          <w:sz w:val="24"/>
          <w:rtl/>
        </w:rPr>
        <w:t>–</w:t>
      </w:r>
      <w:r w:rsidRPr="00106D3A">
        <w:rPr>
          <w:rFonts w:hint="cs"/>
          <w:sz w:val="24"/>
          <w:rtl/>
        </w:rPr>
        <w:t xml:space="preserve"> הם ארגונים שנשפטים בין היתר באמצעות מדדים כמותיים של זמן ותפוקה, אשר מתמודדים עם עומס רב, ושרבים מלקוחותיהם מגיעים אליהם שלא מרצון ובלא עניין או חדווה</w:t>
      </w:r>
      <w:r w:rsidR="00C62643" w:rsidRPr="00106D3A">
        <w:rPr>
          <w:rFonts w:hint="cs"/>
          <w:sz w:val="24"/>
          <w:rtl/>
        </w:rPr>
        <w:t>, וספק אם יש להם עניין מודע בפיתוח התכנים החוקתיים של הקהילה הפוליטית</w:t>
      </w:r>
      <w:r w:rsidRPr="00106D3A">
        <w:rPr>
          <w:rFonts w:hint="cs"/>
          <w:sz w:val="24"/>
          <w:rtl/>
        </w:rPr>
        <w:t xml:space="preserve">. אלא שהתיאוריה הדמוקרטית של המשפט החוקתי אינה מבקשת להפוך את האזרחים לפילוסופים. ההיפך הוא הנכון: היא מבקשת "לחלן" את השיח החוקתי, באמצעות העשרתו באינטראקציות רגילות בין אנשים שפוגשים, מרצון או מאונס, את המדינה </w:t>
      </w:r>
      <w:r w:rsidR="004C5A0F">
        <w:rPr>
          <w:rFonts w:hint="cs"/>
          <w:sz w:val="24"/>
          <w:rtl/>
        </w:rPr>
        <w:t xml:space="preserve">(ולו בדמות השופט) </w:t>
      </w:r>
      <w:r w:rsidRPr="00106D3A">
        <w:rPr>
          <w:rFonts w:hint="cs"/>
          <w:sz w:val="24"/>
          <w:rtl/>
        </w:rPr>
        <w:t>בבית המשפט. במובן זה גם אמירות כמו "אינני חייב", "החוק הזה לא צודק", או "</w:t>
      </w:r>
      <w:r w:rsidR="001E04DD" w:rsidRPr="00106D3A">
        <w:rPr>
          <w:rFonts w:hint="cs"/>
          <w:sz w:val="24"/>
          <w:rtl/>
        </w:rPr>
        <w:t xml:space="preserve">זו </w:t>
      </w:r>
      <w:r w:rsidRPr="00106D3A">
        <w:rPr>
          <w:rFonts w:hint="cs"/>
          <w:sz w:val="24"/>
          <w:rtl/>
        </w:rPr>
        <w:t xml:space="preserve">זכותי" הן רגעים בעלי ערך חוקתי לתפיסה </w:t>
      </w:r>
      <w:proofErr w:type="spellStart"/>
      <w:r w:rsidRPr="00106D3A">
        <w:rPr>
          <w:rFonts w:hint="cs"/>
          <w:sz w:val="24"/>
          <w:rtl/>
        </w:rPr>
        <w:t>התדיינותית</w:t>
      </w:r>
      <w:proofErr w:type="spellEnd"/>
      <w:r w:rsidRPr="00106D3A">
        <w:rPr>
          <w:rFonts w:hint="cs"/>
          <w:sz w:val="24"/>
          <w:rtl/>
        </w:rPr>
        <w:t>-</w:t>
      </w:r>
      <w:proofErr w:type="spellStart"/>
      <w:r w:rsidRPr="00106D3A">
        <w:rPr>
          <w:rFonts w:hint="cs"/>
          <w:sz w:val="24"/>
          <w:rtl/>
        </w:rPr>
        <w:t>השתתפותית</w:t>
      </w:r>
      <w:proofErr w:type="spellEnd"/>
      <w:r w:rsidRPr="00106D3A">
        <w:rPr>
          <w:rFonts w:hint="cs"/>
          <w:sz w:val="24"/>
          <w:rtl/>
        </w:rPr>
        <w:t xml:space="preserve">. </w:t>
      </w:r>
      <w:r w:rsidR="00463731" w:rsidRPr="00106D3A">
        <w:rPr>
          <w:rFonts w:hint="cs"/>
          <w:sz w:val="24"/>
          <w:rtl/>
        </w:rPr>
        <w:t>אלה אמירות ש</w:t>
      </w:r>
      <w:r w:rsidR="00A37AF8" w:rsidRPr="00106D3A">
        <w:rPr>
          <w:rFonts w:hint="cs"/>
          <w:sz w:val="24"/>
          <w:rtl/>
        </w:rPr>
        <w:t xml:space="preserve">מביעות עמדה ביחס למשפט הרצוי, </w:t>
      </w:r>
      <w:r w:rsidR="00463731" w:rsidRPr="00106D3A">
        <w:rPr>
          <w:rFonts w:hint="cs"/>
          <w:sz w:val="24"/>
          <w:rtl/>
        </w:rPr>
        <w:t xml:space="preserve">תובעות </w:t>
      </w:r>
      <w:r w:rsidR="00517A4D" w:rsidRPr="00106D3A">
        <w:rPr>
          <w:rFonts w:hint="cs"/>
          <w:sz w:val="24"/>
          <w:rtl/>
        </w:rPr>
        <w:t xml:space="preserve">התייחסות והנמקה </w:t>
      </w:r>
      <w:r w:rsidR="00463731" w:rsidRPr="00106D3A">
        <w:rPr>
          <w:rFonts w:hint="cs"/>
          <w:sz w:val="24"/>
          <w:rtl/>
        </w:rPr>
        <w:t xml:space="preserve">מצד </w:t>
      </w:r>
      <w:r w:rsidR="003119C2" w:rsidRPr="00106D3A">
        <w:rPr>
          <w:rFonts w:hint="cs"/>
          <w:sz w:val="24"/>
          <w:rtl/>
        </w:rPr>
        <w:t>ב</w:t>
      </w:r>
      <w:r w:rsidR="00710CB5" w:rsidRPr="00106D3A">
        <w:rPr>
          <w:rFonts w:hint="cs"/>
          <w:sz w:val="24"/>
          <w:rtl/>
        </w:rPr>
        <w:t>ע</w:t>
      </w:r>
      <w:r w:rsidR="003119C2" w:rsidRPr="00106D3A">
        <w:rPr>
          <w:rFonts w:hint="cs"/>
          <w:sz w:val="24"/>
          <w:rtl/>
        </w:rPr>
        <w:t xml:space="preserve">לי הדין שכנגד ומצד </w:t>
      </w:r>
      <w:r w:rsidR="000B5B2C" w:rsidRPr="00106D3A">
        <w:rPr>
          <w:rFonts w:hint="cs"/>
          <w:sz w:val="24"/>
          <w:rtl/>
        </w:rPr>
        <w:t>המערכת המדינתית</w:t>
      </w:r>
      <w:r w:rsidR="003B5460" w:rsidRPr="00106D3A">
        <w:rPr>
          <w:rFonts w:hint="cs"/>
          <w:sz w:val="24"/>
          <w:rtl/>
        </w:rPr>
        <w:t xml:space="preserve"> עצמה (</w:t>
      </w:r>
      <w:r w:rsidR="003F7034" w:rsidRPr="00106D3A">
        <w:rPr>
          <w:rFonts w:hint="cs"/>
          <w:sz w:val="24"/>
          <w:rtl/>
        </w:rPr>
        <w:t>באמצעות</w:t>
      </w:r>
      <w:r w:rsidR="003B5460" w:rsidRPr="00106D3A">
        <w:rPr>
          <w:rFonts w:hint="cs"/>
          <w:sz w:val="24"/>
          <w:rtl/>
        </w:rPr>
        <w:t xml:space="preserve"> השופט היושב בדין)</w:t>
      </w:r>
      <w:r w:rsidR="00F74E36" w:rsidRPr="00106D3A">
        <w:rPr>
          <w:rFonts w:hint="cs"/>
          <w:sz w:val="24"/>
          <w:rtl/>
        </w:rPr>
        <w:t>,</w:t>
      </w:r>
      <w:r w:rsidR="000B5B2C" w:rsidRPr="00106D3A">
        <w:rPr>
          <w:rFonts w:hint="cs"/>
          <w:sz w:val="24"/>
          <w:rtl/>
        </w:rPr>
        <w:t xml:space="preserve"> </w:t>
      </w:r>
      <w:r w:rsidR="00281A34" w:rsidRPr="00106D3A">
        <w:rPr>
          <w:rFonts w:hint="cs"/>
          <w:sz w:val="24"/>
          <w:rtl/>
        </w:rPr>
        <w:t>כלומר</w:t>
      </w:r>
      <w:r w:rsidR="00F746E9" w:rsidRPr="00106D3A">
        <w:rPr>
          <w:rFonts w:hint="cs"/>
          <w:sz w:val="24"/>
          <w:rtl/>
        </w:rPr>
        <w:t xml:space="preserve"> הן</w:t>
      </w:r>
      <w:r w:rsidR="00281A34" w:rsidRPr="00106D3A">
        <w:rPr>
          <w:rFonts w:hint="cs"/>
          <w:sz w:val="24"/>
          <w:rtl/>
        </w:rPr>
        <w:t xml:space="preserve"> מגרות </w:t>
      </w:r>
      <w:proofErr w:type="spellStart"/>
      <w:r w:rsidR="00281A34" w:rsidRPr="00106D3A">
        <w:rPr>
          <w:rFonts w:hint="cs"/>
          <w:sz w:val="24"/>
          <w:rtl/>
        </w:rPr>
        <w:t>דינמיקה</w:t>
      </w:r>
      <w:proofErr w:type="spellEnd"/>
      <w:r w:rsidR="00281A34" w:rsidRPr="00106D3A">
        <w:rPr>
          <w:rFonts w:hint="cs"/>
          <w:sz w:val="24"/>
          <w:rtl/>
        </w:rPr>
        <w:t xml:space="preserve"> </w:t>
      </w:r>
      <w:proofErr w:type="spellStart"/>
      <w:r w:rsidR="00281A34" w:rsidRPr="00106D3A">
        <w:rPr>
          <w:rFonts w:hint="cs"/>
          <w:sz w:val="24"/>
          <w:rtl/>
        </w:rPr>
        <w:t>התדיינותית</w:t>
      </w:r>
      <w:proofErr w:type="spellEnd"/>
      <w:r w:rsidR="00F74E36" w:rsidRPr="00106D3A">
        <w:rPr>
          <w:rFonts w:hint="cs"/>
          <w:sz w:val="24"/>
          <w:rtl/>
        </w:rPr>
        <w:t>;</w:t>
      </w:r>
      <w:r w:rsidR="00281A34" w:rsidRPr="00106D3A">
        <w:rPr>
          <w:rFonts w:hint="cs"/>
          <w:sz w:val="24"/>
          <w:rtl/>
        </w:rPr>
        <w:t xml:space="preserve"> ו</w:t>
      </w:r>
      <w:r w:rsidR="00F74E36" w:rsidRPr="00106D3A">
        <w:rPr>
          <w:rFonts w:hint="cs"/>
          <w:sz w:val="24"/>
          <w:rtl/>
        </w:rPr>
        <w:t xml:space="preserve">הן </w:t>
      </w:r>
      <w:r w:rsidR="000B5B2C" w:rsidRPr="00106D3A">
        <w:rPr>
          <w:rFonts w:hint="cs"/>
          <w:sz w:val="24"/>
          <w:rtl/>
        </w:rPr>
        <w:t>מתורגמ</w:t>
      </w:r>
      <w:r w:rsidR="00F74E36" w:rsidRPr="00106D3A">
        <w:rPr>
          <w:rFonts w:hint="cs"/>
          <w:sz w:val="24"/>
          <w:rtl/>
        </w:rPr>
        <w:t>ו</w:t>
      </w:r>
      <w:r w:rsidR="000B5B2C" w:rsidRPr="00106D3A">
        <w:rPr>
          <w:rFonts w:hint="cs"/>
          <w:sz w:val="24"/>
          <w:rtl/>
        </w:rPr>
        <w:t xml:space="preserve">ת למעשים </w:t>
      </w:r>
      <w:r w:rsidR="00F25A33" w:rsidRPr="00106D3A">
        <w:rPr>
          <w:rFonts w:hint="cs"/>
          <w:sz w:val="24"/>
          <w:rtl/>
        </w:rPr>
        <w:t xml:space="preserve">(צווים שיפוטיים) </w:t>
      </w:r>
      <w:r w:rsidR="0088414B" w:rsidRPr="00106D3A">
        <w:rPr>
          <w:rFonts w:hint="cs"/>
          <w:sz w:val="24"/>
          <w:rtl/>
        </w:rPr>
        <w:t xml:space="preserve">שמשפיעים </w:t>
      </w:r>
      <w:r w:rsidR="00A74076" w:rsidRPr="00106D3A">
        <w:rPr>
          <w:rFonts w:hint="cs"/>
          <w:sz w:val="24"/>
          <w:rtl/>
        </w:rPr>
        <w:t xml:space="preserve">באופן מוחשי </w:t>
      </w:r>
      <w:r w:rsidR="0088414B" w:rsidRPr="00106D3A">
        <w:rPr>
          <w:rFonts w:hint="cs"/>
          <w:sz w:val="24"/>
          <w:rtl/>
        </w:rPr>
        <w:t xml:space="preserve">על האופן </w:t>
      </w:r>
      <w:r w:rsidR="00710CB5" w:rsidRPr="00106D3A">
        <w:rPr>
          <w:rFonts w:hint="cs"/>
          <w:sz w:val="24"/>
          <w:rtl/>
        </w:rPr>
        <w:t xml:space="preserve">בו </w:t>
      </w:r>
      <w:r w:rsidR="0088414B" w:rsidRPr="00106D3A">
        <w:rPr>
          <w:rFonts w:hint="cs"/>
          <w:sz w:val="24"/>
          <w:rtl/>
        </w:rPr>
        <w:t>פועלת המערכת החוקתית</w:t>
      </w:r>
      <w:r w:rsidR="00A74076" w:rsidRPr="00106D3A">
        <w:rPr>
          <w:rFonts w:hint="cs"/>
          <w:sz w:val="24"/>
          <w:rtl/>
        </w:rPr>
        <w:t>, כלומר מפקידות בידי הפרט המתדיין כוח נורמטיבי ממשי</w:t>
      </w:r>
      <w:r w:rsidR="001D7E29" w:rsidRPr="00106D3A">
        <w:rPr>
          <w:rFonts w:hint="cs"/>
          <w:sz w:val="24"/>
          <w:rtl/>
        </w:rPr>
        <w:t>: הן הופכות אותו ליצרן של תוכן חוקתי</w:t>
      </w:r>
      <w:r w:rsidR="00A74076" w:rsidRPr="00106D3A">
        <w:rPr>
          <w:rFonts w:hint="cs"/>
          <w:sz w:val="24"/>
          <w:rtl/>
        </w:rPr>
        <w:t>.</w:t>
      </w:r>
      <w:r w:rsidR="0088414B" w:rsidRPr="00106D3A">
        <w:rPr>
          <w:rFonts w:hint="cs"/>
          <w:sz w:val="24"/>
          <w:rtl/>
        </w:rPr>
        <w:t xml:space="preserve"> </w:t>
      </w:r>
    </w:p>
    <w:p w:rsidR="000C7645" w:rsidRPr="00106D3A" w:rsidRDefault="000C7645" w:rsidP="005D17EE">
      <w:pPr>
        <w:ind w:firstLine="720"/>
        <w:jc w:val="both"/>
        <w:rPr>
          <w:sz w:val="24"/>
          <w:rtl/>
        </w:rPr>
      </w:pPr>
      <w:r w:rsidRPr="00106D3A">
        <w:rPr>
          <w:rFonts w:hint="cs"/>
          <w:sz w:val="24"/>
          <w:rtl/>
        </w:rPr>
        <w:t xml:space="preserve">בראיה זו, </w:t>
      </w:r>
      <w:r w:rsidR="00A74076" w:rsidRPr="00106D3A">
        <w:rPr>
          <w:rFonts w:hint="cs"/>
          <w:sz w:val="24"/>
          <w:rtl/>
        </w:rPr>
        <w:t xml:space="preserve">דווקא </w:t>
      </w:r>
      <w:r w:rsidRPr="00106D3A">
        <w:rPr>
          <w:rFonts w:hint="cs"/>
          <w:sz w:val="24"/>
          <w:rtl/>
        </w:rPr>
        <w:t xml:space="preserve">טענות </w:t>
      </w:r>
      <w:r w:rsidR="00F431EB" w:rsidRPr="00106D3A">
        <w:rPr>
          <w:rFonts w:hint="cs"/>
          <w:sz w:val="24"/>
          <w:rtl/>
        </w:rPr>
        <w:t>ל</w:t>
      </w:r>
      <w:r w:rsidRPr="00106D3A">
        <w:rPr>
          <w:rFonts w:hint="cs"/>
          <w:sz w:val="24"/>
          <w:rtl/>
        </w:rPr>
        <w:t xml:space="preserve">ביקורת שיפוטית חוקתית </w:t>
      </w:r>
      <w:r w:rsidR="00A74076" w:rsidRPr="00106D3A">
        <w:rPr>
          <w:rFonts w:hint="cs"/>
          <w:sz w:val="24"/>
          <w:rtl/>
        </w:rPr>
        <w:t xml:space="preserve">מתאימות במיוחד להתברר גם בערכאות הדיון. </w:t>
      </w:r>
      <w:r w:rsidR="00924815" w:rsidRPr="00106D3A">
        <w:rPr>
          <w:rFonts w:hint="cs"/>
          <w:sz w:val="24"/>
          <w:rtl/>
        </w:rPr>
        <w:t xml:space="preserve">אלה טענות שמאפשרות לפרט המתדיין להתערב בתוכנה של חקיקה, כלומר </w:t>
      </w:r>
      <w:r w:rsidR="00924815" w:rsidRPr="00106D3A">
        <w:rPr>
          <w:rFonts w:hint="cs"/>
          <w:sz w:val="24"/>
          <w:rtl/>
        </w:rPr>
        <w:lastRenderedPageBreak/>
        <w:t xml:space="preserve">בתוכן היצירה של בית </w:t>
      </w:r>
      <w:r w:rsidR="00D23378" w:rsidRPr="00106D3A">
        <w:rPr>
          <w:rFonts w:hint="cs"/>
          <w:sz w:val="24"/>
          <w:rtl/>
        </w:rPr>
        <w:t>הנבחרים המייצג</w:t>
      </w:r>
      <w:r w:rsidR="00DA7805" w:rsidRPr="00106D3A">
        <w:rPr>
          <w:rFonts w:hint="cs"/>
          <w:sz w:val="24"/>
          <w:rtl/>
        </w:rPr>
        <w:t xml:space="preserve"> אותו</w:t>
      </w:r>
      <w:r w:rsidR="005209DD" w:rsidRPr="00106D3A">
        <w:rPr>
          <w:rFonts w:hint="cs"/>
          <w:sz w:val="24"/>
          <w:rtl/>
        </w:rPr>
        <w:t>, ובמובן זה לבקר באופן שוטף את פעילותם של הנבחרים</w:t>
      </w:r>
      <w:r w:rsidR="00DA7805" w:rsidRPr="00106D3A">
        <w:rPr>
          <w:rFonts w:hint="cs"/>
          <w:sz w:val="24"/>
          <w:rtl/>
        </w:rPr>
        <w:t>.</w:t>
      </w:r>
      <w:r w:rsidR="00DA7805" w:rsidRPr="00106D3A">
        <w:rPr>
          <w:rStyle w:val="FootnoteReference"/>
          <w:sz w:val="24"/>
          <w:rtl/>
        </w:rPr>
        <w:footnoteReference w:id="94"/>
      </w:r>
      <w:r w:rsidR="00DA7805" w:rsidRPr="00106D3A">
        <w:rPr>
          <w:rFonts w:hint="cs"/>
          <w:sz w:val="24"/>
          <w:rtl/>
        </w:rPr>
        <w:t xml:space="preserve"> </w:t>
      </w:r>
      <w:r w:rsidR="007C0111" w:rsidRPr="00106D3A">
        <w:rPr>
          <w:rFonts w:hint="cs"/>
          <w:sz w:val="24"/>
          <w:rtl/>
        </w:rPr>
        <w:t xml:space="preserve">הן </w:t>
      </w:r>
      <w:r w:rsidR="00DA7805" w:rsidRPr="00106D3A">
        <w:rPr>
          <w:rFonts w:hint="cs"/>
          <w:sz w:val="24"/>
          <w:rtl/>
        </w:rPr>
        <w:t xml:space="preserve">הופכות את הפרט המתדיין </w:t>
      </w:r>
      <w:r w:rsidR="00484AD5" w:rsidRPr="00106D3A">
        <w:rPr>
          <w:rFonts w:hint="cs"/>
          <w:sz w:val="24"/>
          <w:rtl/>
        </w:rPr>
        <w:t xml:space="preserve">לשותף פעיל ומשפיע בשיחה </w:t>
      </w:r>
      <w:r w:rsidR="007C0111" w:rsidRPr="00106D3A">
        <w:rPr>
          <w:rFonts w:hint="cs"/>
          <w:sz w:val="24"/>
          <w:rtl/>
        </w:rPr>
        <w:t xml:space="preserve">ציבורית </w:t>
      </w:r>
      <w:r w:rsidR="00484AD5" w:rsidRPr="00106D3A">
        <w:rPr>
          <w:rFonts w:hint="cs"/>
          <w:sz w:val="24"/>
          <w:rtl/>
        </w:rPr>
        <w:t>על מערכת הערכים החוקתית שאמורה להגביל את בית הנבחרים בחקיקתו</w:t>
      </w:r>
      <w:r w:rsidR="003E6C1E">
        <w:rPr>
          <w:rFonts w:hint="cs"/>
          <w:sz w:val="24"/>
          <w:rtl/>
        </w:rPr>
        <w:t xml:space="preserve">; ולאורך זמן ועל פני רצף של תיקים </w:t>
      </w:r>
      <w:r w:rsidR="003E6C1E">
        <w:rPr>
          <w:sz w:val="24"/>
          <w:rtl/>
        </w:rPr>
        <w:t>–</w:t>
      </w:r>
      <w:r w:rsidR="003E6C1E">
        <w:rPr>
          <w:rFonts w:hint="cs"/>
          <w:sz w:val="24"/>
          <w:rtl/>
        </w:rPr>
        <w:t xml:space="preserve"> הליכים אלה יכולים להתגבש לדינמיקה דמוקרטית של ממש</w:t>
      </w:r>
      <w:r w:rsidR="00D2021A">
        <w:rPr>
          <w:rFonts w:hint="cs"/>
          <w:sz w:val="24"/>
          <w:rtl/>
        </w:rPr>
        <w:t xml:space="preserve"> (במובנים </w:t>
      </w:r>
      <w:proofErr w:type="spellStart"/>
      <w:r w:rsidR="00D2021A">
        <w:rPr>
          <w:rFonts w:hint="cs"/>
          <w:sz w:val="24"/>
          <w:rtl/>
        </w:rPr>
        <w:t>ההשתתפותיים</w:t>
      </w:r>
      <w:proofErr w:type="spellEnd"/>
      <w:r w:rsidR="00D2021A">
        <w:rPr>
          <w:rFonts w:hint="cs"/>
          <w:sz w:val="24"/>
          <w:rtl/>
        </w:rPr>
        <w:t xml:space="preserve">, </w:t>
      </w:r>
      <w:proofErr w:type="spellStart"/>
      <w:r w:rsidR="00D2021A">
        <w:rPr>
          <w:rFonts w:hint="cs"/>
          <w:sz w:val="24"/>
          <w:rtl/>
        </w:rPr>
        <w:t>התדיינותיים</w:t>
      </w:r>
      <w:proofErr w:type="spellEnd"/>
      <w:r w:rsidR="00D2021A">
        <w:rPr>
          <w:rFonts w:hint="cs"/>
          <w:sz w:val="24"/>
          <w:rtl/>
        </w:rPr>
        <w:t>, פלורליסטיים ופופוליסטיים של המושג)</w:t>
      </w:r>
      <w:r w:rsidR="00484AD5" w:rsidRPr="00106D3A">
        <w:rPr>
          <w:rFonts w:hint="cs"/>
          <w:sz w:val="24"/>
          <w:rtl/>
        </w:rPr>
        <w:t xml:space="preserve">. </w:t>
      </w:r>
      <w:r w:rsidR="00B83136" w:rsidRPr="00106D3A">
        <w:rPr>
          <w:rFonts w:hint="cs"/>
          <w:sz w:val="24"/>
          <w:rtl/>
        </w:rPr>
        <w:t xml:space="preserve">אמת, </w:t>
      </w:r>
      <w:r w:rsidR="00675311" w:rsidRPr="00106D3A">
        <w:rPr>
          <w:rFonts w:hint="cs"/>
          <w:sz w:val="24"/>
          <w:rtl/>
        </w:rPr>
        <w:t xml:space="preserve">קיים טיעון לפיו כדי לממש תכליות מסוג זה אין צורך בביקורת שיפוטית ממש בערכאות </w:t>
      </w:r>
      <w:r w:rsidR="00EF3667" w:rsidRPr="00106D3A">
        <w:rPr>
          <w:rFonts w:hint="cs"/>
          <w:sz w:val="24"/>
          <w:rtl/>
        </w:rPr>
        <w:t>הנמוכות</w:t>
      </w:r>
      <w:r w:rsidR="00675311" w:rsidRPr="00106D3A">
        <w:rPr>
          <w:rFonts w:hint="cs"/>
          <w:sz w:val="24"/>
          <w:rtl/>
        </w:rPr>
        <w:t xml:space="preserve"> </w:t>
      </w:r>
      <w:r w:rsidR="00675311" w:rsidRPr="00106D3A">
        <w:rPr>
          <w:sz w:val="24"/>
          <w:rtl/>
        </w:rPr>
        <w:t>–</w:t>
      </w:r>
      <w:r w:rsidR="00675311" w:rsidRPr="00106D3A">
        <w:rPr>
          <w:rFonts w:hint="cs"/>
          <w:sz w:val="24"/>
          <w:rtl/>
        </w:rPr>
        <w:t xml:space="preserve"> די בכך שבתי המשפט השונים יוסמכו לזהות קשיים חוקתיים ואז להפנותם לערכאה חוקתית ריכוזית כדי </w:t>
      </w:r>
      <w:r w:rsidR="00EF3667" w:rsidRPr="00106D3A">
        <w:rPr>
          <w:rFonts w:hint="cs"/>
          <w:sz w:val="24"/>
          <w:rtl/>
        </w:rPr>
        <w:t>שדיון מסוג זה יתנהל ממילא גם בערכאות הדיון</w:t>
      </w:r>
      <w:r w:rsidR="005D17EE" w:rsidRPr="00106D3A">
        <w:rPr>
          <w:rFonts w:hint="cs"/>
          <w:sz w:val="24"/>
          <w:rtl/>
        </w:rPr>
        <w:t>;</w:t>
      </w:r>
      <w:r w:rsidR="00EF3667" w:rsidRPr="00106D3A">
        <w:rPr>
          <w:rStyle w:val="FootnoteReference"/>
          <w:sz w:val="24"/>
          <w:rtl/>
        </w:rPr>
        <w:footnoteReference w:id="95"/>
      </w:r>
      <w:r w:rsidR="00EF3667" w:rsidRPr="00106D3A">
        <w:rPr>
          <w:rFonts w:hint="cs"/>
          <w:sz w:val="24"/>
          <w:rtl/>
        </w:rPr>
        <w:t xml:space="preserve"> </w:t>
      </w:r>
      <w:r w:rsidR="005D17EE" w:rsidRPr="00106D3A">
        <w:rPr>
          <w:rFonts w:hint="cs"/>
          <w:sz w:val="24"/>
          <w:rtl/>
        </w:rPr>
        <w:t>ואולי ניתן להסתפק בחובתן של ערכאות הדיון לפרש את הנורמות הרגילות לאור הערכים החוקתיים כדי לשלבן בשיח החוקתי.</w:t>
      </w:r>
      <w:r w:rsidR="00CB1505" w:rsidRPr="00106D3A">
        <w:rPr>
          <w:rStyle w:val="FootnoteReference"/>
          <w:sz w:val="24"/>
          <w:rtl/>
        </w:rPr>
        <w:footnoteReference w:id="96"/>
      </w:r>
      <w:r w:rsidR="005D17EE" w:rsidRPr="00106D3A">
        <w:rPr>
          <w:rFonts w:hint="cs"/>
          <w:sz w:val="24"/>
          <w:rtl/>
        </w:rPr>
        <w:t xml:space="preserve"> </w:t>
      </w:r>
      <w:r w:rsidR="00F43052" w:rsidRPr="00106D3A">
        <w:rPr>
          <w:rFonts w:hint="cs"/>
          <w:sz w:val="24"/>
          <w:rtl/>
        </w:rPr>
        <w:t>אך אם אנו רוצים לממש באופן מלא את הפוטנציאל הדמוקרטי של</w:t>
      </w:r>
      <w:r w:rsidR="00D35582" w:rsidRPr="00106D3A">
        <w:rPr>
          <w:rFonts w:hint="cs"/>
          <w:sz w:val="24"/>
          <w:rtl/>
        </w:rPr>
        <w:t xml:space="preserve"> ההתדיינות בערכאות אלה</w:t>
      </w:r>
      <w:r w:rsidR="00BF71FF" w:rsidRPr="00106D3A">
        <w:rPr>
          <w:rFonts w:hint="cs"/>
          <w:sz w:val="24"/>
          <w:rtl/>
        </w:rPr>
        <w:t xml:space="preserve">, הרי </w:t>
      </w:r>
      <w:r w:rsidR="00F43052" w:rsidRPr="00106D3A">
        <w:rPr>
          <w:rFonts w:hint="cs"/>
          <w:sz w:val="24"/>
          <w:rtl/>
        </w:rPr>
        <w:t xml:space="preserve">רצוי </w:t>
      </w:r>
      <w:r w:rsidR="00893B27" w:rsidRPr="00106D3A">
        <w:rPr>
          <w:rFonts w:hint="cs"/>
          <w:sz w:val="24"/>
          <w:rtl/>
        </w:rPr>
        <w:t>ש</w:t>
      </w:r>
      <w:r w:rsidR="006B767F" w:rsidRPr="00106D3A">
        <w:rPr>
          <w:rFonts w:hint="cs"/>
          <w:sz w:val="24"/>
          <w:rtl/>
        </w:rPr>
        <w:t>ה</w:t>
      </w:r>
      <w:r w:rsidR="00893B27" w:rsidRPr="00106D3A">
        <w:rPr>
          <w:rFonts w:hint="cs"/>
          <w:sz w:val="24"/>
          <w:rtl/>
        </w:rPr>
        <w:t xml:space="preserve">אפקט שלה יהיה מלא </w:t>
      </w:r>
      <w:r w:rsidR="00893B27" w:rsidRPr="00106D3A">
        <w:rPr>
          <w:sz w:val="24"/>
          <w:rtl/>
        </w:rPr>
        <w:t>–</w:t>
      </w:r>
      <w:r w:rsidR="00893B27" w:rsidRPr="00106D3A">
        <w:rPr>
          <w:rFonts w:hint="cs"/>
          <w:sz w:val="24"/>
          <w:rtl/>
        </w:rPr>
        <w:t xml:space="preserve"> שתהיה </w:t>
      </w:r>
      <w:r w:rsidR="006B767F" w:rsidRPr="00106D3A">
        <w:rPr>
          <w:rFonts w:hint="cs"/>
          <w:sz w:val="24"/>
          <w:rtl/>
        </w:rPr>
        <w:t xml:space="preserve">לה </w:t>
      </w:r>
      <w:r w:rsidR="00893B27" w:rsidRPr="00106D3A">
        <w:rPr>
          <w:rFonts w:hint="cs"/>
          <w:sz w:val="24"/>
          <w:rtl/>
        </w:rPr>
        <w:t xml:space="preserve">יכולת להשפיע באופן ממשי על המצב הנורמטיבי, גם אם </w:t>
      </w:r>
      <w:r w:rsidR="008F5CF1" w:rsidRPr="00106D3A">
        <w:rPr>
          <w:rFonts w:hint="cs"/>
          <w:sz w:val="24"/>
          <w:rtl/>
        </w:rPr>
        <w:t xml:space="preserve">מדובר </w:t>
      </w:r>
      <w:r w:rsidR="00D22608" w:rsidRPr="00106D3A">
        <w:rPr>
          <w:rFonts w:hint="cs"/>
          <w:sz w:val="24"/>
          <w:rtl/>
        </w:rPr>
        <w:t>בהשפעה קטנה</w:t>
      </w:r>
      <w:r w:rsidR="008F5CF1" w:rsidRPr="00106D3A">
        <w:rPr>
          <w:rFonts w:hint="cs"/>
          <w:sz w:val="24"/>
          <w:rtl/>
        </w:rPr>
        <w:t xml:space="preserve"> יחסית </w:t>
      </w:r>
      <w:r w:rsidR="00387C37" w:rsidRPr="00106D3A">
        <w:rPr>
          <w:rFonts w:hint="cs"/>
          <w:sz w:val="24"/>
          <w:rtl/>
        </w:rPr>
        <w:t xml:space="preserve">של בטלות </w:t>
      </w:r>
      <w:r w:rsidR="008F5CF1" w:rsidRPr="00106D3A">
        <w:rPr>
          <w:rFonts w:hint="cs"/>
          <w:sz w:val="24"/>
          <w:rtl/>
        </w:rPr>
        <w:t xml:space="preserve">במקרה המסוים. </w:t>
      </w:r>
    </w:p>
    <w:p w:rsidR="0075093C" w:rsidRPr="00106D3A" w:rsidRDefault="00D813A4" w:rsidP="001407AB">
      <w:pPr>
        <w:ind w:firstLine="720"/>
        <w:jc w:val="both"/>
        <w:rPr>
          <w:sz w:val="24"/>
          <w:rtl/>
        </w:rPr>
      </w:pPr>
      <w:r w:rsidRPr="00106D3A">
        <w:rPr>
          <w:rFonts w:hint="cs"/>
          <w:sz w:val="24"/>
          <w:rtl/>
        </w:rPr>
        <w:t xml:space="preserve">החלטות בודדות של ביקורת שיפוטית בערכאות הדיון </w:t>
      </w:r>
      <w:r w:rsidR="000C0FDF" w:rsidRPr="00106D3A">
        <w:rPr>
          <w:rFonts w:hint="cs"/>
          <w:sz w:val="24"/>
          <w:rtl/>
        </w:rPr>
        <w:t xml:space="preserve">ביחס לחוק מסוים, אפילו השפעתן המעשית מוגבלת, </w:t>
      </w:r>
      <w:r w:rsidRPr="00106D3A">
        <w:rPr>
          <w:rFonts w:hint="cs"/>
          <w:sz w:val="24"/>
          <w:rtl/>
        </w:rPr>
        <w:t xml:space="preserve">יכולות לשמש </w:t>
      </w:r>
      <w:r w:rsidR="006F74F2" w:rsidRPr="00106D3A">
        <w:rPr>
          <w:rFonts w:hint="cs"/>
          <w:sz w:val="24"/>
          <w:rtl/>
        </w:rPr>
        <w:t>זרז לפעילות חוקתית בתוך בתי המשפט ו</w:t>
      </w:r>
      <w:r w:rsidR="007B4EA8" w:rsidRPr="00106D3A">
        <w:rPr>
          <w:rFonts w:hint="cs"/>
          <w:sz w:val="24"/>
          <w:rtl/>
        </w:rPr>
        <w:t xml:space="preserve">גם </w:t>
      </w:r>
      <w:r w:rsidR="006F74F2" w:rsidRPr="00106D3A">
        <w:rPr>
          <w:rFonts w:hint="cs"/>
          <w:sz w:val="24"/>
          <w:rtl/>
        </w:rPr>
        <w:t xml:space="preserve">מחוץ להם, בהיותן </w:t>
      </w:r>
      <w:r w:rsidRPr="00106D3A">
        <w:rPr>
          <w:rFonts w:hint="cs"/>
          <w:sz w:val="24"/>
          <w:rtl/>
        </w:rPr>
        <w:t xml:space="preserve">סמן </w:t>
      </w:r>
      <w:r w:rsidR="000C0FDF" w:rsidRPr="00106D3A">
        <w:rPr>
          <w:rFonts w:hint="cs"/>
          <w:sz w:val="24"/>
          <w:rtl/>
        </w:rPr>
        <w:t xml:space="preserve">משמעותי </w:t>
      </w:r>
      <w:r w:rsidR="006F74F2" w:rsidRPr="00106D3A">
        <w:rPr>
          <w:rFonts w:hint="cs"/>
          <w:sz w:val="24"/>
          <w:rtl/>
        </w:rPr>
        <w:t>למגוון ה</w:t>
      </w:r>
      <w:r w:rsidR="000C0FDF" w:rsidRPr="00106D3A">
        <w:rPr>
          <w:rFonts w:hint="cs"/>
          <w:sz w:val="24"/>
          <w:rtl/>
        </w:rPr>
        <w:t xml:space="preserve">שחקנים המעורבים בתהליך היצירה של משמעויות חוקתיות. </w:t>
      </w:r>
      <w:r w:rsidR="00C93B6E" w:rsidRPr="00106D3A">
        <w:rPr>
          <w:rFonts w:hint="cs"/>
          <w:sz w:val="24"/>
          <w:rtl/>
        </w:rPr>
        <w:t xml:space="preserve">הן מספקות מידע לבעלי הדין </w:t>
      </w:r>
      <w:r w:rsidR="00C93B6E" w:rsidRPr="00106D3A">
        <w:rPr>
          <w:sz w:val="24"/>
          <w:rtl/>
        </w:rPr>
        <w:t>–</w:t>
      </w:r>
      <w:r w:rsidR="00C93B6E" w:rsidRPr="00106D3A">
        <w:rPr>
          <w:rFonts w:hint="cs"/>
          <w:sz w:val="24"/>
          <w:rtl/>
        </w:rPr>
        <w:t xml:space="preserve"> </w:t>
      </w:r>
      <w:r w:rsidR="00B405CA" w:rsidRPr="00106D3A">
        <w:rPr>
          <w:rFonts w:hint="cs"/>
          <w:sz w:val="24"/>
          <w:rtl/>
        </w:rPr>
        <w:t>הנוכחיים</w:t>
      </w:r>
      <w:r w:rsidR="00C93B6E" w:rsidRPr="00106D3A">
        <w:rPr>
          <w:rFonts w:hint="cs"/>
          <w:sz w:val="24"/>
          <w:rtl/>
        </w:rPr>
        <w:t>,</w:t>
      </w:r>
      <w:r w:rsidR="00B405CA" w:rsidRPr="00106D3A">
        <w:rPr>
          <w:rFonts w:hint="cs"/>
          <w:sz w:val="24"/>
          <w:rtl/>
        </w:rPr>
        <w:t xml:space="preserve"> השוקלים אם לערער</w:t>
      </w:r>
      <w:r w:rsidR="00C93B6E" w:rsidRPr="00106D3A">
        <w:rPr>
          <w:rFonts w:hint="cs"/>
          <w:sz w:val="24"/>
          <w:rtl/>
        </w:rPr>
        <w:t xml:space="preserve">; </w:t>
      </w:r>
      <w:r w:rsidR="00B405CA" w:rsidRPr="00106D3A">
        <w:rPr>
          <w:rFonts w:hint="cs"/>
          <w:sz w:val="24"/>
          <w:rtl/>
        </w:rPr>
        <w:t>ו</w:t>
      </w:r>
      <w:r w:rsidR="001407AB" w:rsidRPr="00106D3A">
        <w:rPr>
          <w:rFonts w:hint="cs"/>
          <w:sz w:val="24"/>
          <w:rtl/>
        </w:rPr>
        <w:t>ה</w:t>
      </w:r>
      <w:r w:rsidR="00B405CA" w:rsidRPr="00106D3A">
        <w:rPr>
          <w:rFonts w:hint="cs"/>
          <w:sz w:val="24"/>
          <w:rtl/>
        </w:rPr>
        <w:t>עתידיים</w:t>
      </w:r>
      <w:r w:rsidR="00C93B6E" w:rsidRPr="00106D3A">
        <w:rPr>
          <w:rFonts w:hint="cs"/>
          <w:sz w:val="24"/>
          <w:rtl/>
        </w:rPr>
        <w:t>,</w:t>
      </w:r>
      <w:r w:rsidR="00B405CA" w:rsidRPr="00106D3A">
        <w:rPr>
          <w:rFonts w:hint="cs"/>
          <w:sz w:val="24"/>
          <w:rtl/>
        </w:rPr>
        <w:t xml:space="preserve"> השוקלים אילו טענות </w:t>
      </w:r>
      <w:r w:rsidR="00C93B6E" w:rsidRPr="00106D3A">
        <w:rPr>
          <w:rFonts w:hint="cs"/>
          <w:sz w:val="24"/>
          <w:rtl/>
        </w:rPr>
        <w:t>להעלות בהליכים שיבואו</w:t>
      </w:r>
      <w:r w:rsidR="0075093C" w:rsidRPr="00106D3A">
        <w:rPr>
          <w:rFonts w:hint="cs"/>
          <w:sz w:val="24"/>
          <w:rtl/>
        </w:rPr>
        <w:t>. הן מיידעות את ערכאות הערעור, המבחינות בקושי החוקתי שזוהה בערכאות הדיון, לומדות מן הפתרונות השונים אליהם הגיעו בתי המשפט השונים ביחס לאותה שאלה, ומייחסות חשיבות מיוחדת ליישוב הדין ב</w:t>
      </w:r>
      <w:r w:rsidR="00D113D0" w:rsidRPr="00106D3A">
        <w:rPr>
          <w:rFonts w:hint="cs"/>
          <w:sz w:val="24"/>
          <w:rtl/>
        </w:rPr>
        <w:t>מצבים של סתירה</w:t>
      </w:r>
      <w:r w:rsidR="0075093C" w:rsidRPr="00106D3A">
        <w:rPr>
          <w:rFonts w:hint="cs"/>
          <w:sz w:val="24"/>
          <w:rtl/>
        </w:rPr>
        <w:t xml:space="preserve">. </w:t>
      </w:r>
      <w:r w:rsidR="00E015A4" w:rsidRPr="00106D3A">
        <w:rPr>
          <w:rFonts w:hint="cs"/>
          <w:sz w:val="24"/>
          <w:rtl/>
        </w:rPr>
        <w:t xml:space="preserve">הביקורת השיפוטית בערכאות הדיון משדרת מסר גם למעצבי המדיניות ולמנסחי החקיקה: אין הכרח שחוק יבוטל באופן מוחלט וכלפי כולי עלמא </w:t>
      </w:r>
      <w:r w:rsidR="00772FC5" w:rsidRPr="00106D3A">
        <w:rPr>
          <w:sz w:val="24"/>
          <w:rtl/>
        </w:rPr>
        <w:t>–</w:t>
      </w:r>
      <w:r w:rsidR="00772FC5" w:rsidRPr="00106D3A">
        <w:rPr>
          <w:rFonts w:hint="cs"/>
          <w:sz w:val="24"/>
          <w:rtl/>
        </w:rPr>
        <w:t xml:space="preserve"> כלומר על ידי בית המשפט העליון </w:t>
      </w:r>
      <w:r w:rsidR="00772FC5" w:rsidRPr="00106D3A">
        <w:rPr>
          <w:sz w:val="24"/>
          <w:rtl/>
        </w:rPr>
        <w:t>–</w:t>
      </w:r>
      <w:r w:rsidR="00772FC5" w:rsidRPr="00106D3A">
        <w:rPr>
          <w:rFonts w:hint="cs"/>
          <w:sz w:val="24"/>
          <w:rtl/>
        </w:rPr>
        <w:t xml:space="preserve"> </w:t>
      </w:r>
      <w:r w:rsidR="00E015A4" w:rsidRPr="00106D3A">
        <w:rPr>
          <w:rFonts w:hint="cs"/>
          <w:sz w:val="24"/>
          <w:rtl/>
        </w:rPr>
        <w:t>כדי ש</w:t>
      </w:r>
      <w:r w:rsidR="00772FC5" w:rsidRPr="00106D3A">
        <w:rPr>
          <w:rFonts w:hint="cs"/>
          <w:sz w:val="24"/>
          <w:rtl/>
        </w:rPr>
        <w:t xml:space="preserve">המחוקקים יכירו </w:t>
      </w:r>
      <w:r w:rsidR="008A25C2" w:rsidRPr="00106D3A">
        <w:rPr>
          <w:rFonts w:hint="cs"/>
          <w:sz w:val="24"/>
          <w:rtl/>
        </w:rPr>
        <w:t>בבעי</w:t>
      </w:r>
      <w:r w:rsidR="00AC4F03" w:rsidRPr="00106D3A">
        <w:rPr>
          <w:rFonts w:hint="cs"/>
          <w:sz w:val="24"/>
          <w:rtl/>
        </w:rPr>
        <w:t>י</w:t>
      </w:r>
      <w:r w:rsidR="008A25C2" w:rsidRPr="00106D3A">
        <w:rPr>
          <w:rFonts w:hint="cs"/>
          <w:sz w:val="24"/>
          <w:rtl/>
        </w:rPr>
        <w:t xml:space="preserve">תיות חוקתית המצויה בו ואשר נחשפה בבתי המשפט הנמוכים. </w:t>
      </w:r>
      <w:r w:rsidR="001407AB" w:rsidRPr="00106D3A">
        <w:rPr>
          <w:rFonts w:hint="cs"/>
          <w:sz w:val="24"/>
          <w:rtl/>
        </w:rPr>
        <w:t xml:space="preserve">הנעת המחוקק לתיקון חוק הסובל מפגם חוקתי באמצעות ביקורת שיפוטית בערכאה נמוכה היא מעשה בעל משקל אנטי-רובני פחוּת מאשר ביקורת שיפוטית בבית המשפט העליון. </w:t>
      </w:r>
      <w:r w:rsidR="00392222" w:rsidRPr="00106D3A">
        <w:rPr>
          <w:rFonts w:hint="cs"/>
          <w:sz w:val="24"/>
          <w:rtl/>
        </w:rPr>
        <w:t xml:space="preserve">אכן, בהתחשב </w:t>
      </w:r>
      <w:r w:rsidR="00A365F2" w:rsidRPr="00106D3A">
        <w:rPr>
          <w:rFonts w:hint="cs"/>
          <w:sz w:val="24"/>
          <w:rtl/>
        </w:rPr>
        <w:t xml:space="preserve">בהשלכות המוגבלות </w:t>
      </w:r>
      <w:r w:rsidR="00392222" w:rsidRPr="00106D3A">
        <w:rPr>
          <w:rFonts w:hint="cs"/>
          <w:sz w:val="24"/>
          <w:rtl/>
        </w:rPr>
        <w:t xml:space="preserve">של ביקורת שיפוטית בערכאות הדיון, ניתן לתמוה על הכעס הגדול שעוררה החלטה כמו זו </w:t>
      </w:r>
      <w:r w:rsidR="004709ED" w:rsidRPr="00106D3A">
        <w:rPr>
          <w:rFonts w:hint="cs"/>
          <w:sz w:val="24"/>
          <w:rtl/>
        </w:rPr>
        <w:t>ש</w:t>
      </w:r>
      <w:r w:rsidR="00392222" w:rsidRPr="00106D3A">
        <w:rPr>
          <w:rFonts w:hint="cs"/>
          <w:sz w:val="24"/>
          <w:rtl/>
        </w:rPr>
        <w:t>בפרש</w:t>
      </w:r>
      <w:r w:rsidR="00A365F2" w:rsidRPr="00106D3A">
        <w:rPr>
          <w:rFonts w:hint="cs"/>
          <w:sz w:val="24"/>
          <w:rtl/>
        </w:rPr>
        <w:t xml:space="preserve">ת </w:t>
      </w:r>
      <w:proofErr w:type="spellStart"/>
      <w:r w:rsidR="00A365F2" w:rsidRPr="00106D3A">
        <w:rPr>
          <w:rFonts w:hint="cs"/>
          <w:sz w:val="24"/>
          <w:rtl/>
        </w:rPr>
        <w:t>הנדלמן</w:t>
      </w:r>
      <w:proofErr w:type="spellEnd"/>
      <w:r w:rsidR="00A365F2" w:rsidRPr="00106D3A">
        <w:rPr>
          <w:rFonts w:hint="cs"/>
          <w:sz w:val="24"/>
          <w:rtl/>
        </w:rPr>
        <w:t xml:space="preserve"> בחוגים פוליטיים מסוימים</w:t>
      </w:r>
      <w:r w:rsidR="00392222" w:rsidRPr="00106D3A">
        <w:rPr>
          <w:rFonts w:hint="cs"/>
          <w:sz w:val="24"/>
          <w:rtl/>
        </w:rPr>
        <w:t xml:space="preserve">. </w:t>
      </w:r>
    </w:p>
    <w:p w:rsidR="0075093C" w:rsidRPr="00106D3A" w:rsidRDefault="0075093C" w:rsidP="00C93B6E">
      <w:pPr>
        <w:ind w:firstLine="720"/>
        <w:jc w:val="both"/>
        <w:rPr>
          <w:sz w:val="24"/>
          <w:rtl/>
        </w:rPr>
      </w:pPr>
    </w:p>
    <w:p w:rsidR="00945E08" w:rsidRPr="00106D3A" w:rsidRDefault="00550D5D" w:rsidP="00D374A3">
      <w:pPr>
        <w:pStyle w:val="Heading2"/>
        <w:rPr>
          <w:rtl/>
        </w:rPr>
      </w:pPr>
      <w:bookmarkStart w:id="38" w:name="_Toc372223060"/>
      <w:r w:rsidRPr="00106D3A">
        <w:rPr>
          <w:rFonts w:hint="cs"/>
          <w:rtl/>
        </w:rPr>
        <w:t>ביקורת שיפוטית ביזורית וההקשר הישראלי</w:t>
      </w:r>
      <w:bookmarkEnd w:id="38"/>
    </w:p>
    <w:p w:rsidR="00BF14BF" w:rsidRPr="00106D3A" w:rsidRDefault="00580A7D" w:rsidP="00714530">
      <w:pPr>
        <w:ind w:firstLine="720"/>
        <w:jc w:val="both"/>
        <w:rPr>
          <w:sz w:val="24"/>
          <w:rtl/>
        </w:rPr>
      </w:pPr>
      <w:r w:rsidRPr="00106D3A">
        <w:rPr>
          <w:rFonts w:hint="cs"/>
          <w:sz w:val="24"/>
          <w:rtl/>
        </w:rPr>
        <w:t xml:space="preserve">הטיעון שהוצג עד כה </w:t>
      </w:r>
      <w:r w:rsidR="00FA4E71" w:rsidRPr="00106D3A">
        <w:rPr>
          <w:rFonts w:hint="cs"/>
          <w:sz w:val="24"/>
          <w:rtl/>
        </w:rPr>
        <w:t xml:space="preserve">בזכות ביקורת שיפוטית ביזורית </w:t>
      </w:r>
      <w:r w:rsidRPr="00106D3A">
        <w:rPr>
          <w:rFonts w:hint="cs"/>
          <w:sz w:val="24"/>
          <w:rtl/>
        </w:rPr>
        <w:t>היה ת</w:t>
      </w:r>
      <w:r w:rsidR="00FA4E71" w:rsidRPr="00106D3A">
        <w:rPr>
          <w:rFonts w:hint="cs"/>
          <w:sz w:val="24"/>
          <w:rtl/>
        </w:rPr>
        <w:t>יאורטי בעיקרו</w:t>
      </w:r>
      <w:r w:rsidR="001A3B3D" w:rsidRPr="00106D3A">
        <w:rPr>
          <w:rFonts w:hint="cs"/>
          <w:sz w:val="24"/>
          <w:rtl/>
        </w:rPr>
        <w:t>,</w:t>
      </w:r>
      <w:r w:rsidR="00FA4E71" w:rsidRPr="00106D3A">
        <w:rPr>
          <w:rFonts w:hint="cs"/>
          <w:sz w:val="24"/>
          <w:rtl/>
        </w:rPr>
        <w:t xml:space="preserve"> והתבסס על מאפיינים טיפוסיים להתדיינות משפטית בערכאות דיון במסורת ה-</w:t>
      </w:r>
      <w:r w:rsidR="00FA4E71" w:rsidRPr="00106D3A">
        <w:rPr>
          <w:sz w:val="24"/>
        </w:rPr>
        <w:t>common law</w:t>
      </w:r>
      <w:r w:rsidR="00FA4E71" w:rsidRPr="00106D3A">
        <w:rPr>
          <w:rFonts w:hint="cs"/>
          <w:sz w:val="24"/>
          <w:rtl/>
        </w:rPr>
        <w:t xml:space="preserve">. </w:t>
      </w:r>
      <w:r w:rsidR="001A3B3D" w:rsidRPr="00106D3A">
        <w:rPr>
          <w:rFonts w:hint="cs"/>
          <w:sz w:val="24"/>
          <w:rtl/>
        </w:rPr>
        <w:t xml:space="preserve">אני מבקש להשלים את </w:t>
      </w:r>
      <w:r w:rsidR="0019730B" w:rsidRPr="00106D3A">
        <w:rPr>
          <w:rFonts w:hint="cs"/>
          <w:sz w:val="24"/>
          <w:rtl/>
        </w:rPr>
        <w:t xml:space="preserve">המהלך על ידי הדגשת מאפיינים שהנם ייחודיים למצב החוקתי הישראלי, ואשר עשויים להצדיק העדפה מיוחדת, דווקא בישראל, לביקורת שיפוטית ביזורית. </w:t>
      </w:r>
      <w:r w:rsidR="00816A14" w:rsidRPr="00106D3A">
        <w:rPr>
          <w:rFonts w:hint="cs"/>
          <w:sz w:val="24"/>
          <w:rtl/>
        </w:rPr>
        <w:t xml:space="preserve">כוונתי לשני היבטים של המצב החוקתי הישראלי: </w:t>
      </w:r>
      <w:r w:rsidR="00153D01" w:rsidRPr="00106D3A">
        <w:rPr>
          <w:rFonts w:hint="cs"/>
          <w:sz w:val="24"/>
          <w:rtl/>
        </w:rPr>
        <w:t xml:space="preserve">ראשית, </w:t>
      </w:r>
      <w:r w:rsidR="00BF71FF" w:rsidRPr="00106D3A">
        <w:rPr>
          <w:rFonts w:hint="cs"/>
          <w:sz w:val="24"/>
          <w:rtl/>
        </w:rPr>
        <w:t>העובדה שהמהלך החוקתי ה</w:t>
      </w:r>
      <w:r w:rsidR="00860F0C" w:rsidRPr="00106D3A">
        <w:rPr>
          <w:rFonts w:hint="cs"/>
          <w:sz w:val="24"/>
          <w:rtl/>
        </w:rPr>
        <w:t>ישראלי מעולם לא זכ</w:t>
      </w:r>
      <w:r w:rsidR="00247259" w:rsidRPr="00106D3A">
        <w:rPr>
          <w:rFonts w:hint="cs"/>
          <w:sz w:val="24"/>
          <w:rtl/>
        </w:rPr>
        <w:t>ה</w:t>
      </w:r>
      <w:r w:rsidR="00860F0C" w:rsidRPr="00106D3A">
        <w:rPr>
          <w:rFonts w:hint="cs"/>
          <w:sz w:val="24"/>
          <w:rtl/>
        </w:rPr>
        <w:t xml:space="preserve"> ל"רגע חוקתי" מכונן</w:t>
      </w:r>
      <w:r w:rsidR="00DF5D65" w:rsidRPr="00106D3A">
        <w:rPr>
          <w:rFonts w:hint="cs"/>
          <w:sz w:val="24"/>
          <w:rtl/>
        </w:rPr>
        <w:t xml:space="preserve">; ושנית, </w:t>
      </w:r>
      <w:proofErr w:type="spellStart"/>
      <w:r w:rsidR="0082397E" w:rsidRPr="00106D3A">
        <w:rPr>
          <w:rFonts w:hint="cs"/>
          <w:sz w:val="24"/>
          <w:rtl/>
        </w:rPr>
        <w:t>אופיה</w:t>
      </w:r>
      <w:proofErr w:type="spellEnd"/>
      <w:r w:rsidR="00FA2261" w:rsidRPr="00106D3A">
        <w:rPr>
          <w:rFonts w:hint="cs"/>
          <w:sz w:val="24"/>
          <w:rtl/>
        </w:rPr>
        <w:t>ּ</w:t>
      </w:r>
      <w:r w:rsidR="0082397E" w:rsidRPr="00106D3A">
        <w:rPr>
          <w:rFonts w:hint="cs"/>
          <w:sz w:val="24"/>
          <w:rtl/>
        </w:rPr>
        <w:t xml:space="preserve"> של ישראל כמדינה שאוכלוסייתה </w:t>
      </w:r>
      <w:r w:rsidR="00714530" w:rsidRPr="00106D3A">
        <w:rPr>
          <w:rFonts w:hint="cs"/>
          <w:sz w:val="24"/>
          <w:rtl/>
        </w:rPr>
        <w:t>מקוטבת ו</w:t>
      </w:r>
      <w:r w:rsidR="0082397E" w:rsidRPr="00106D3A">
        <w:rPr>
          <w:rFonts w:hint="cs"/>
          <w:sz w:val="24"/>
          <w:rtl/>
        </w:rPr>
        <w:t xml:space="preserve">מפוצלת, </w:t>
      </w:r>
      <w:r w:rsidR="00FA2261" w:rsidRPr="00106D3A">
        <w:rPr>
          <w:rFonts w:hint="cs"/>
          <w:sz w:val="24"/>
          <w:rtl/>
        </w:rPr>
        <w:t xml:space="preserve">על פני </w:t>
      </w:r>
      <w:r w:rsidR="0082397E" w:rsidRPr="00106D3A">
        <w:rPr>
          <w:rFonts w:hint="cs"/>
          <w:sz w:val="24"/>
          <w:rtl/>
        </w:rPr>
        <w:t>צירים דתיים, לאומיים, אתניים ותרבותיים</w:t>
      </w:r>
      <w:r w:rsidR="00BF14BF" w:rsidRPr="00106D3A">
        <w:rPr>
          <w:rFonts w:hint="cs"/>
          <w:sz w:val="24"/>
          <w:rtl/>
        </w:rPr>
        <w:t>.</w:t>
      </w:r>
    </w:p>
    <w:p w:rsidR="00BF14BF" w:rsidRPr="00106D3A" w:rsidRDefault="00BF14BF" w:rsidP="00C81A60">
      <w:pPr>
        <w:ind w:firstLine="720"/>
        <w:jc w:val="both"/>
        <w:rPr>
          <w:sz w:val="24"/>
          <w:rtl/>
        </w:rPr>
      </w:pPr>
      <w:r w:rsidRPr="00106D3A">
        <w:rPr>
          <w:rFonts w:hint="cs"/>
          <w:b/>
          <w:bCs/>
          <w:sz w:val="24"/>
          <w:rtl/>
        </w:rPr>
        <w:t>העדרו של רגע חוקתי</w:t>
      </w:r>
      <w:r w:rsidRPr="00106D3A">
        <w:rPr>
          <w:rFonts w:hint="cs"/>
          <w:sz w:val="24"/>
          <w:rtl/>
        </w:rPr>
        <w:t xml:space="preserve">. </w:t>
      </w:r>
      <w:r w:rsidR="00F72481" w:rsidRPr="00106D3A">
        <w:rPr>
          <w:rFonts w:hint="cs"/>
          <w:sz w:val="24"/>
          <w:rtl/>
        </w:rPr>
        <w:t xml:space="preserve">כידוע, </w:t>
      </w:r>
      <w:r w:rsidR="00162007" w:rsidRPr="00106D3A">
        <w:rPr>
          <w:rFonts w:hint="cs"/>
          <w:sz w:val="24"/>
          <w:rtl/>
        </w:rPr>
        <w:t>חוקי-</w:t>
      </w:r>
      <w:r w:rsidR="00BA7C5C" w:rsidRPr="00106D3A">
        <w:rPr>
          <w:rFonts w:hint="cs"/>
          <w:sz w:val="24"/>
          <w:rtl/>
        </w:rPr>
        <w:t xml:space="preserve">היסוד </w:t>
      </w:r>
      <w:r w:rsidR="00F72481" w:rsidRPr="00106D3A">
        <w:rPr>
          <w:rFonts w:hint="cs"/>
          <w:sz w:val="24"/>
          <w:rtl/>
        </w:rPr>
        <w:t xml:space="preserve">הישראליים נוצרו </w:t>
      </w:r>
      <w:r w:rsidR="005E41DF" w:rsidRPr="00106D3A">
        <w:rPr>
          <w:rFonts w:hint="cs"/>
          <w:sz w:val="24"/>
          <w:rtl/>
        </w:rPr>
        <w:t xml:space="preserve">באופן </w:t>
      </w:r>
      <w:r w:rsidR="00FD4E6C" w:rsidRPr="00106D3A">
        <w:rPr>
          <w:rFonts w:hint="cs"/>
          <w:sz w:val="24"/>
          <w:rtl/>
        </w:rPr>
        <w:t xml:space="preserve">מקוטע </w:t>
      </w:r>
      <w:r w:rsidR="00F72481" w:rsidRPr="00106D3A">
        <w:rPr>
          <w:rFonts w:hint="cs"/>
          <w:sz w:val="24"/>
          <w:rtl/>
        </w:rPr>
        <w:t>לאורך שנות קיומה של המדינה</w:t>
      </w:r>
      <w:r w:rsidR="005E41DF" w:rsidRPr="00106D3A">
        <w:rPr>
          <w:rFonts w:hint="cs"/>
          <w:sz w:val="24"/>
          <w:rtl/>
        </w:rPr>
        <w:t xml:space="preserve"> במסגרת הליך החקיקה הרגיל</w:t>
      </w:r>
      <w:r w:rsidR="00FD4E6C" w:rsidRPr="00106D3A">
        <w:rPr>
          <w:rFonts w:hint="cs"/>
          <w:sz w:val="24"/>
          <w:rtl/>
        </w:rPr>
        <w:t xml:space="preserve">. </w:t>
      </w:r>
      <w:r w:rsidR="00BA7C5C" w:rsidRPr="00106D3A">
        <w:rPr>
          <w:rFonts w:hint="cs"/>
          <w:sz w:val="24"/>
          <w:rtl/>
        </w:rPr>
        <w:t xml:space="preserve">חלק </w:t>
      </w:r>
      <w:r w:rsidR="00162007" w:rsidRPr="00106D3A">
        <w:rPr>
          <w:rFonts w:hint="cs"/>
          <w:sz w:val="24"/>
          <w:rtl/>
        </w:rPr>
        <w:t xml:space="preserve">מחוקי-היסוד </w:t>
      </w:r>
      <w:r w:rsidR="00D03862" w:rsidRPr="00106D3A">
        <w:rPr>
          <w:rFonts w:hint="cs"/>
          <w:sz w:val="24"/>
          <w:rtl/>
        </w:rPr>
        <w:t xml:space="preserve">(והתיקונים להם) </w:t>
      </w:r>
      <w:r w:rsidR="00452E23" w:rsidRPr="00106D3A">
        <w:rPr>
          <w:rFonts w:hint="cs"/>
          <w:sz w:val="24"/>
          <w:rtl/>
        </w:rPr>
        <w:t>נוסחו ונחקקו כביטוי ל</w:t>
      </w:r>
      <w:r w:rsidR="004860FD" w:rsidRPr="00106D3A">
        <w:rPr>
          <w:rFonts w:hint="cs"/>
          <w:sz w:val="24"/>
          <w:rtl/>
        </w:rPr>
        <w:t>שיקולים פוליטיים קצרי-טווח יותר מאשר</w:t>
      </w:r>
      <w:r w:rsidR="00BA7C5C" w:rsidRPr="00106D3A">
        <w:rPr>
          <w:rFonts w:hint="cs"/>
          <w:sz w:val="24"/>
          <w:rtl/>
        </w:rPr>
        <w:t xml:space="preserve"> </w:t>
      </w:r>
      <w:r w:rsidR="00C81A60" w:rsidRPr="00106D3A">
        <w:rPr>
          <w:rFonts w:hint="cs"/>
          <w:sz w:val="24"/>
          <w:rtl/>
        </w:rPr>
        <w:t>ל</w:t>
      </w:r>
      <w:r w:rsidR="00BA7C5C" w:rsidRPr="00106D3A">
        <w:rPr>
          <w:rFonts w:hint="cs"/>
          <w:sz w:val="24"/>
          <w:rtl/>
        </w:rPr>
        <w:t>תפיס</w:t>
      </w:r>
      <w:r w:rsidR="009718A9" w:rsidRPr="00106D3A">
        <w:rPr>
          <w:rFonts w:hint="cs"/>
          <w:sz w:val="24"/>
          <w:rtl/>
        </w:rPr>
        <w:t>ות</w:t>
      </w:r>
      <w:r w:rsidR="00452E23" w:rsidRPr="00106D3A">
        <w:rPr>
          <w:rFonts w:hint="cs"/>
          <w:sz w:val="24"/>
          <w:rtl/>
        </w:rPr>
        <w:t xml:space="preserve"> ערכי</w:t>
      </w:r>
      <w:r w:rsidR="009718A9" w:rsidRPr="00106D3A">
        <w:rPr>
          <w:rFonts w:hint="cs"/>
          <w:sz w:val="24"/>
          <w:rtl/>
        </w:rPr>
        <w:t>ו</w:t>
      </w:r>
      <w:r w:rsidR="00452E23" w:rsidRPr="00106D3A">
        <w:rPr>
          <w:rFonts w:hint="cs"/>
          <w:sz w:val="24"/>
          <w:rtl/>
        </w:rPr>
        <w:t xml:space="preserve">ת באשר למשטר החוקתי הראוי, ורבים מהם </w:t>
      </w:r>
      <w:r w:rsidR="00162007" w:rsidRPr="00106D3A">
        <w:rPr>
          <w:rFonts w:hint="cs"/>
          <w:sz w:val="24"/>
          <w:rtl/>
        </w:rPr>
        <w:t xml:space="preserve">עברו בכנסת </w:t>
      </w:r>
      <w:r w:rsidR="009718A9" w:rsidRPr="00106D3A">
        <w:rPr>
          <w:rFonts w:hint="cs"/>
          <w:sz w:val="24"/>
          <w:rtl/>
        </w:rPr>
        <w:t>ללא</w:t>
      </w:r>
      <w:r w:rsidR="00944758" w:rsidRPr="00106D3A">
        <w:rPr>
          <w:rFonts w:hint="cs"/>
          <w:sz w:val="24"/>
          <w:rtl/>
        </w:rPr>
        <w:t xml:space="preserve"> הליך </w:t>
      </w:r>
      <w:r w:rsidR="009718A9" w:rsidRPr="00106D3A">
        <w:rPr>
          <w:rFonts w:hint="cs"/>
          <w:sz w:val="24"/>
          <w:rtl/>
        </w:rPr>
        <w:t>התדיינותי</w:t>
      </w:r>
      <w:r w:rsidR="00443DEF" w:rsidRPr="00106D3A">
        <w:rPr>
          <w:rFonts w:hint="cs"/>
          <w:sz w:val="24"/>
          <w:rtl/>
        </w:rPr>
        <w:t xml:space="preserve"> </w:t>
      </w:r>
      <w:r w:rsidR="00E15C20" w:rsidRPr="00106D3A">
        <w:rPr>
          <w:rFonts w:hint="cs"/>
          <w:sz w:val="24"/>
          <w:rtl/>
        </w:rPr>
        <w:t xml:space="preserve">משמעותי </w:t>
      </w:r>
      <w:r w:rsidR="009B1E03" w:rsidRPr="00106D3A">
        <w:rPr>
          <w:rFonts w:hint="cs"/>
          <w:sz w:val="24"/>
          <w:rtl/>
        </w:rPr>
        <w:t xml:space="preserve">ובהצבעות בהשתתפות חלקית בלבד. </w:t>
      </w:r>
      <w:r w:rsidR="00DF67D6" w:rsidRPr="00106D3A">
        <w:rPr>
          <w:rFonts w:hint="cs"/>
          <w:sz w:val="24"/>
          <w:rtl/>
        </w:rPr>
        <w:t>לא זכינו ל"מעמד הר סיני" שיגבש את הקהל כולו סביב טקסט חוקתי מכונן.</w:t>
      </w:r>
      <w:r w:rsidR="00885B94" w:rsidRPr="00106D3A">
        <w:rPr>
          <w:rStyle w:val="FootnoteReference"/>
          <w:sz w:val="24"/>
          <w:rtl/>
        </w:rPr>
        <w:footnoteReference w:id="97"/>
      </w:r>
      <w:r w:rsidR="00DF67D6" w:rsidRPr="00106D3A">
        <w:rPr>
          <w:rFonts w:hint="cs"/>
          <w:sz w:val="24"/>
          <w:rtl/>
        </w:rPr>
        <w:t xml:space="preserve"> </w:t>
      </w:r>
      <w:r w:rsidR="0063615A" w:rsidRPr="00106D3A">
        <w:rPr>
          <w:rFonts w:hint="cs"/>
          <w:sz w:val="24"/>
          <w:rtl/>
        </w:rPr>
        <w:t xml:space="preserve">זו </w:t>
      </w:r>
      <w:r w:rsidR="0063615A" w:rsidRPr="00106D3A">
        <w:rPr>
          <w:rFonts w:hint="cs"/>
          <w:sz w:val="24"/>
          <w:rtl/>
        </w:rPr>
        <w:lastRenderedPageBreak/>
        <w:t>אינה נקודת מוצא מב</w:t>
      </w:r>
      <w:r w:rsidR="00B3138F" w:rsidRPr="00106D3A">
        <w:rPr>
          <w:rFonts w:hint="cs"/>
          <w:sz w:val="24"/>
          <w:rtl/>
        </w:rPr>
        <w:t xml:space="preserve">טיחה לשיטה חוקתית, אשר זקוקה להזדהות </w:t>
      </w:r>
      <w:r w:rsidR="00D03862" w:rsidRPr="00106D3A">
        <w:rPr>
          <w:rFonts w:hint="cs"/>
          <w:sz w:val="24"/>
          <w:rtl/>
        </w:rPr>
        <w:t xml:space="preserve">נמשכת של הציבור עם הערכים החוקתיים ועם המנגנונים המופקדים על </w:t>
      </w:r>
      <w:r w:rsidR="00082642" w:rsidRPr="00106D3A">
        <w:rPr>
          <w:rFonts w:hint="cs"/>
          <w:sz w:val="24"/>
          <w:rtl/>
        </w:rPr>
        <w:t>שמירתם, פיתוחם ואכיפתם.</w:t>
      </w:r>
      <w:r w:rsidR="009F0DE7">
        <w:rPr>
          <w:rStyle w:val="FootnoteReference"/>
          <w:sz w:val="24"/>
          <w:rtl/>
        </w:rPr>
        <w:footnoteReference w:id="98"/>
      </w:r>
      <w:r w:rsidR="00082642" w:rsidRPr="00106D3A">
        <w:rPr>
          <w:rFonts w:hint="cs"/>
          <w:sz w:val="24"/>
          <w:rtl/>
        </w:rPr>
        <w:t xml:space="preserve"> </w:t>
      </w:r>
      <w:r w:rsidR="00C35108" w:rsidRPr="00106D3A">
        <w:rPr>
          <w:rFonts w:hint="cs"/>
          <w:sz w:val="24"/>
          <w:rtl/>
        </w:rPr>
        <w:t>כדי שהחוקה הישראלית</w:t>
      </w:r>
      <w:r w:rsidR="009404FA" w:rsidRPr="00106D3A">
        <w:rPr>
          <w:rStyle w:val="FootnoteReference"/>
          <w:sz w:val="24"/>
          <w:rtl/>
        </w:rPr>
        <w:footnoteReference w:id="99"/>
      </w:r>
      <w:r w:rsidR="00C35108" w:rsidRPr="00106D3A">
        <w:rPr>
          <w:rFonts w:hint="cs"/>
          <w:sz w:val="24"/>
          <w:rtl/>
        </w:rPr>
        <w:t xml:space="preserve"> </w:t>
      </w:r>
      <w:r w:rsidR="002A659D" w:rsidRPr="00106D3A">
        <w:rPr>
          <w:rFonts w:hint="cs"/>
          <w:sz w:val="24"/>
          <w:rtl/>
        </w:rPr>
        <w:t xml:space="preserve">תישאר ותשגשג, אנו זקוקים אפוא למסגרות באמצעותן </w:t>
      </w:r>
      <w:r w:rsidR="003A66BD" w:rsidRPr="00106D3A">
        <w:rPr>
          <w:rFonts w:hint="cs"/>
          <w:sz w:val="24"/>
          <w:rtl/>
        </w:rPr>
        <w:t xml:space="preserve">יוכל הציבור </w:t>
      </w:r>
      <w:r w:rsidR="00F67DED" w:rsidRPr="00106D3A">
        <w:rPr>
          <w:rFonts w:hint="cs"/>
          <w:sz w:val="24"/>
          <w:rtl/>
        </w:rPr>
        <w:t xml:space="preserve">הישראלי </w:t>
      </w:r>
      <w:r w:rsidR="003A66BD" w:rsidRPr="00106D3A">
        <w:rPr>
          <w:rFonts w:hint="cs"/>
          <w:sz w:val="24"/>
          <w:rtl/>
        </w:rPr>
        <w:t>להתעמת עם התוכן החוקתי ו</w:t>
      </w:r>
      <w:r w:rsidR="00136AA7" w:rsidRPr="00106D3A">
        <w:rPr>
          <w:rFonts w:hint="cs"/>
          <w:sz w:val="24"/>
          <w:rtl/>
        </w:rPr>
        <w:t xml:space="preserve">לקחת חלק בקביעת </w:t>
      </w:r>
      <w:r w:rsidR="003A66BD" w:rsidRPr="00106D3A">
        <w:rPr>
          <w:rFonts w:hint="cs"/>
          <w:sz w:val="24"/>
          <w:rtl/>
        </w:rPr>
        <w:t xml:space="preserve">משמעויותיו. </w:t>
      </w:r>
      <w:r w:rsidR="009549FF" w:rsidRPr="00106D3A">
        <w:rPr>
          <w:rFonts w:hint="cs"/>
          <w:sz w:val="24"/>
          <w:rtl/>
        </w:rPr>
        <w:t>אף שנעשו לאורך השנים ניסיונות להתניע מהלכים של ניסוח חוקה בהשתתפות רחבה ובהסכמה רחבה</w:t>
      </w:r>
      <w:r w:rsidR="001334B9" w:rsidRPr="00106D3A">
        <w:rPr>
          <w:rFonts w:hint="cs"/>
          <w:sz w:val="24"/>
          <w:rtl/>
        </w:rPr>
        <w:t>,</w:t>
      </w:r>
      <w:r w:rsidR="00BD6BF2" w:rsidRPr="00106D3A">
        <w:rPr>
          <w:rStyle w:val="FootnoteReference"/>
          <w:sz w:val="24"/>
          <w:rtl/>
        </w:rPr>
        <w:footnoteReference w:id="100"/>
      </w:r>
      <w:r w:rsidR="004D0E9F" w:rsidRPr="00106D3A">
        <w:rPr>
          <w:rFonts w:hint="cs"/>
          <w:sz w:val="24"/>
          <w:rtl/>
        </w:rPr>
        <w:t xml:space="preserve"> אלה טרם הבשילו. הקהילה הפוליטית הישראלית זקוקה אפוא </w:t>
      </w:r>
      <w:r w:rsidR="004D0E9F" w:rsidRPr="00106D3A">
        <w:rPr>
          <w:sz w:val="24"/>
          <w:rtl/>
        </w:rPr>
        <w:t>–</w:t>
      </w:r>
      <w:r w:rsidR="004D0E9F" w:rsidRPr="00106D3A">
        <w:rPr>
          <w:rFonts w:hint="cs"/>
          <w:sz w:val="24"/>
          <w:rtl/>
        </w:rPr>
        <w:t xml:space="preserve"> כבר עכשיו </w:t>
      </w:r>
      <w:r w:rsidR="004D0E9F" w:rsidRPr="00106D3A">
        <w:rPr>
          <w:sz w:val="24"/>
          <w:rtl/>
        </w:rPr>
        <w:t>–</w:t>
      </w:r>
      <w:r w:rsidR="004D0E9F" w:rsidRPr="00106D3A">
        <w:rPr>
          <w:rFonts w:hint="cs"/>
          <w:sz w:val="24"/>
          <w:rtl/>
        </w:rPr>
        <w:t xml:space="preserve"> לפורומים </w:t>
      </w:r>
      <w:r w:rsidR="003F1BB0">
        <w:rPr>
          <w:rFonts w:hint="cs"/>
          <w:sz w:val="24"/>
          <w:rtl/>
        </w:rPr>
        <w:t xml:space="preserve">נוספים </w:t>
      </w:r>
      <w:r w:rsidR="004D0E9F" w:rsidRPr="00106D3A">
        <w:rPr>
          <w:rFonts w:hint="cs"/>
          <w:sz w:val="24"/>
          <w:rtl/>
        </w:rPr>
        <w:t xml:space="preserve">שיאפשרו לה </w:t>
      </w:r>
      <w:r w:rsidR="006F3853" w:rsidRPr="00106D3A">
        <w:rPr>
          <w:rFonts w:hint="cs"/>
          <w:sz w:val="24"/>
          <w:rtl/>
        </w:rPr>
        <w:t>לנסח, להתווכח, לה</w:t>
      </w:r>
      <w:r w:rsidR="005B55E6" w:rsidRPr="00106D3A">
        <w:rPr>
          <w:rFonts w:hint="cs"/>
          <w:sz w:val="24"/>
          <w:rtl/>
        </w:rPr>
        <w:t xml:space="preserve">תלבט, ולהתנסות בטיעונים וברעיונות חוקתיים. </w:t>
      </w:r>
    </w:p>
    <w:p w:rsidR="006C086C" w:rsidRPr="00106D3A" w:rsidRDefault="004B7220" w:rsidP="00772A56">
      <w:pPr>
        <w:ind w:firstLine="720"/>
        <w:jc w:val="both"/>
        <w:rPr>
          <w:sz w:val="24"/>
          <w:rtl/>
        </w:rPr>
      </w:pPr>
      <w:r w:rsidRPr="00106D3A">
        <w:rPr>
          <w:rFonts w:hint="cs"/>
          <w:b/>
          <w:bCs/>
          <w:sz w:val="24"/>
          <w:rtl/>
        </w:rPr>
        <w:t xml:space="preserve">הנתון </w:t>
      </w:r>
      <w:r w:rsidR="009249FC" w:rsidRPr="00106D3A">
        <w:rPr>
          <w:rFonts w:hint="cs"/>
          <w:b/>
          <w:bCs/>
          <w:sz w:val="24"/>
          <w:rtl/>
        </w:rPr>
        <w:t>הרב-תרבותי</w:t>
      </w:r>
      <w:r w:rsidR="006A342E" w:rsidRPr="00106D3A">
        <w:rPr>
          <w:rFonts w:hint="cs"/>
          <w:sz w:val="24"/>
          <w:rtl/>
        </w:rPr>
        <w:t xml:space="preserve">. </w:t>
      </w:r>
      <w:r w:rsidR="00356311" w:rsidRPr="00106D3A">
        <w:rPr>
          <w:rFonts w:hint="cs"/>
          <w:sz w:val="24"/>
          <w:rtl/>
        </w:rPr>
        <w:t xml:space="preserve">מקובל לומר שאין מדינה מערבית כיום שאינה רב-תרבותית במידה כזו או אחרת. </w:t>
      </w:r>
      <w:r w:rsidR="00A943E5" w:rsidRPr="00106D3A">
        <w:rPr>
          <w:rFonts w:hint="cs"/>
          <w:sz w:val="24"/>
          <w:rtl/>
        </w:rPr>
        <w:t xml:space="preserve">השילוב של סובלנות דתית, </w:t>
      </w:r>
      <w:r w:rsidR="00615E07" w:rsidRPr="00106D3A">
        <w:rPr>
          <w:rFonts w:hint="cs"/>
          <w:sz w:val="24"/>
          <w:rtl/>
        </w:rPr>
        <w:t xml:space="preserve">של הכרה בחירויות המצפון, הביטוי וההתאגדות, ושל </w:t>
      </w:r>
      <w:r w:rsidR="005112FB" w:rsidRPr="00106D3A">
        <w:rPr>
          <w:rFonts w:hint="cs"/>
          <w:sz w:val="24"/>
          <w:rtl/>
        </w:rPr>
        <w:t xml:space="preserve">התפשטות תופעת ההגירה לרחבי העולם, גרם לכך שההטרוגניות התרבותית היא נתון </w:t>
      </w:r>
      <w:r w:rsidR="00822472" w:rsidRPr="00106D3A">
        <w:rPr>
          <w:rFonts w:hint="cs"/>
          <w:sz w:val="24"/>
          <w:rtl/>
        </w:rPr>
        <w:t xml:space="preserve">אוניברסאלי </w:t>
      </w:r>
      <w:r w:rsidR="00147B54" w:rsidRPr="00106D3A">
        <w:rPr>
          <w:rFonts w:hint="cs"/>
          <w:sz w:val="24"/>
          <w:rtl/>
        </w:rPr>
        <w:t xml:space="preserve">שכל דמוקרטיה ליבראלית </w:t>
      </w:r>
      <w:r w:rsidR="0027108F" w:rsidRPr="00106D3A">
        <w:rPr>
          <w:rFonts w:hint="cs"/>
          <w:sz w:val="24"/>
          <w:rtl/>
        </w:rPr>
        <w:t xml:space="preserve">עכשווית </w:t>
      </w:r>
      <w:r w:rsidR="00147B54" w:rsidRPr="00106D3A">
        <w:rPr>
          <w:rFonts w:hint="cs"/>
          <w:sz w:val="24"/>
          <w:rtl/>
        </w:rPr>
        <w:t>נדרשת להתמודד עמו. אך בישראל זהו מצב חריג</w:t>
      </w:r>
      <w:r w:rsidR="00CD6828" w:rsidRPr="00106D3A">
        <w:rPr>
          <w:rFonts w:hint="cs"/>
          <w:sz w:val="24"/>
          <w:rtl/>
        </w:rPr>
        <w:t xml:space="preserve"> </w:t>
      </w:r>
      <w:r w:rsidR="00C60144" w:rsidRPr="00106D3A">
        <w:rPr>
          <w:rFonts w:hint="cs"/>
          <w:sz w:val="24"/>
          <w:rtl/>
        </w:rPr>
        <w:t>בעוצ</w:t>
      </w:r>
      <w:r w:rsidR="000D103D" w:rsidRPr="00106D3A">
        <w:rPr>
          <w:rFonts w:hint="cs"/>
          <w:sz w:val="24"/>
          <w:rtl/>
        </w:rPr>
        <w:t>מת</w:t>
      </w:r>
      <w:r w:rsidR="00C60144" w:rsidRPr="00106D3A">
        <w:rPr>
          <w:rFonts w:hint="cs"/>
          <w:sz w:val="24"/>
          <w:rtl/>
        </w:rPr>
        <w:t>ו</w:t>
      </w:r>
      <w:r w:rsidR="00CD6828" w:rsidRPr="00106D3A">
        <w:rPr>
          <w:rFonts w:hint="cs"/>
          <w:sz w:val="24"/>
          <w:rtl/>
        </w:rPr>
        <w:t>. אוכלוסייתה כוללת מיעוט לאומי גדול</w:t>
      </w:r>
      <w:r w:rsidR="00497DF0" w:rsidRPr="00106D3A">
        <w:rPr>
          <w:rFonts w:hint="cs"/>
          <w:sz w:val="24"/>
          <w:rtl/>
        </w:rPr>
        <w:t xml:space="preserve"> מאוד, קהילה חרדית משמעותית, מעמד גדל והולך של מהגרי עבודה</w:t>
      </w:r>
      <w:r w:rsidR="00C60144" w:rsidRPr="00106D3A">
        <w:rPr>
          <w:rFonts w:hint="cs"/>
          <w:sz w:val="24"/>
          <w:rtl/>
        </w:rPr>
        <w:t xml:space="preserve">, </w:t>
      </w:r>
      <w:r w:rsidR="002E5465">
        <w:rPr>
          <w:rFonts w:hint="cs"/>
          <w:sz w:val="24"/>
          <w:rtl/>
        </w:rPr>
        <w:t xml:space="preserve">אוכלוסיה פלסטינית עצומה שנמצאת תחת שליטה ישראלית חלקית, </w:t>
      </w:r>
      <w:r w:rsidR="007312EB" w:rsidRPr="00106D3A">
        <w:rPr>
          <w:rFonts w:hint="cs"/>
          <w:sz w:val="24"/>
          <w:rtl/>
        </w:rPr>
        <w:t>ו</w:t>
      </w:r>
      <w:r w:rsidR="00C60144" w:rsidRPr="00106D3A">
        <w:rPr>
          <w:rFonts w:hint="cs"/>
          <w:sz w:val="24"/>
          <w:rtl/>
        </w:rPr>
        <w:t xml:space="preserve">קבוצות תרבותיות </w:t>
      </w:r>
      <w:r w:rsidR="0046433F" w:rsidRPr="00106D3A">
        <w:rPr>
          <w:rFonts w:hint="cs"/>
          <w:sz w:val="24"/>
          <w:rtl/>
        </w:rPr>
        <w:t xml:space="preserve">רבות </w:t>
      </w:r>
      <w:r w:rsidR="007312EB" w:rsidRPr="00106D3A">
        <w:rPr>
          <w:rFonts w:hint="cs"/>
          <w:sz w:val="24"/>
          <w:rtl/>
        </w:rPr>
        <w:t>נוספות, בקרב ה</w:t>
      </w:r>
      <w:r w:rsidR="0046567E" w:rsidRPr="00106D3A">
        <w:rPr>
          <w:rFonts w:hint="cs"/>
          <w:sz w:val="24"/>
          <w:rtl/>
        </w:rPr>
        <w:t xml:space="preserve">קהילות היהודית והערבית כאחת. </w:t>
      </w:r>
      <w:r w:rsidR="007B70E6" w:rsidRPr="00106D3A">
        <w:rPr>
          <w:rFonts w:hint="cs"/>
          <w:sz w:val="24"/>
          <w:rtl/>
        </w:rPr>
        <w:t xml:space="preserve">המייחד את הגיוון הזה, באופן חריג ביחס למדינות רב-תרבותיות אחרות, </w:t>
      </w:r>
      <w:r w:rsidR="00482D16" w:rsidRPr="00106D3A">
        <w:rPr>
          <w:rFonts w:hint="cs"/>
          <w:sz w:val="24"/>
          <w:rtl/>
        </w:rPr>
        <w:t>הוא שלרבות מן הקבוצות המרכיבות את החברה הישראלית יש תפיסות ותביעות שנוגעות לאופיו של המרחב הציבורי</w:t>
      </w:r>
      <w:r w:rsidR="001D334C" w:rsidRPr="00106D3A">
        <w:rPr>
          <w:rFonts w:hint="cs"/>
          <w:sz w:val="24"/>
          <w:rtl/>
        </w:rPr>
        <w:t xml:space="preserve"> </w:t>
      </w:r>
      <w:r w:rsidR="00111FE7" w:rsidRPr="00106D3A">
        <w:rPr>
          <w:rFonts w:hint="cs"/>
          <w:sz w:val="24"/>
          <w:rtl/>
        </w:rPr>
        <w:t xml:space="preserve">ולמחלוקות חוקתיות מובהקות </w:t>
      </w:r>
      <w:r w:rsidR="00111FE7" w:rsidRPr="00106D3A">
        <w:rPr>
          <w:sz w:val="24"/>
          <w:rtl/>
        </w:rPr>
        <w:t>–</w:t>
      </w:r>
      <w:r w:rsidR="00111FE7" w:rsidRPr="00106D3A">
        <w:rPr>
          <w:rFonts w:hint="cs"/>
          <w:sz w:val="24"/>
          <w:rtl/>
        </w:rPr>
        <w:t xml:space="preserve"> ערכיה של ישראל כמדינה יהודית ודמוקרטית, משטר זכויות האדם החל בה והיקפו, ההכרה בזכויות קבוצתיות, ועוד.</w:t>
      </w:r>
      <w:r w:rsidR="009B5C53" w:rsidRPr="00106D3A">
        <w:rPr>
          <w:rStyle w:val="FootnoteReference"/>
          <w:sz w:val="24"/>
          <w:rtl/>
        </w:rPr>
        <w:footnoteReference w:id="101"/>
      </w:r>
      <w:r w:rsidR="00B36E40" w:rsidRPr="00106D3A">
        <w:rPr>
          <w:rFonts w:hint="cs"/>
          <w:sz w:val="24"/>
          <w:rtl/>
        </w:rPr>
        <w:t xml:space="preserve"> </w:t>
      </w:r>
      <w:r w:rsidR="006C086C" w:rsidRPr="00106D3A">
        <w:rPr>
          <w:rFonts w:hint="cs"/>
          <w:sz w:val="24"/>
          <w:rtl/>
        </w:rPr>
        <w:t xml:space="preserve">כידוע, חלק מן המחלוקות בתחומים אלה הובילו </w:t>
      </w:r>
      <w:r w:rsidR="00111FE7" w:rsidRPr="00106D3A">
        <w:rPr>
          <w:rFonts w:hint="cs"/>
          <w:sz w:val="24"/>
          <w:rtl/>
        </w:rPr>
        <w:t xml:space="preserve">בעבר </w:t>
      </w:r>
      <w:r w:rsidR="006C086C" w:rsidRPr="00106D3A">
        <w:rPr>
          <w:rFonts w:hint="cs"/>
          <w:sz w:val="24"/>
          <w:rtl/>
        </w:rPr>
        <w:t>לעימותים קשים ולעתים אף אלימים בין קבוצות בחברה.</w:t>
      </w:r>
      <w:r w:rsidR="00BA7A9C" w:rsidRPr="00106D3A">
        <w:rPr>
          <w:rFonts w:hint="cs"/>
          <w:sz w:val="24"/>
          <w:rtl/>
        </w:rPr>
        <w:t xml:space="preserve"> דמוקרטיה פלורליסטית, כלומר כזו שמבקשת לכבד את התפיסות והתביעות של חברי הקבוצות השונות</w:t>
      </w:r>
      <w:r w:rsidR="0025188C" w:rsidRPr="00106D3A">
        <w:rPr>
          <w:rFonts w:hint="cs"/>
          <w:sz w:val="24"/>
          <w:rtl/>
        </w:rPr>
        <w:t xml:space="preserve"> וגם ליהנות מתרומותיהן לפיתוח החוקתי</w:t>
      </w:r>
      <w:r w:rsidR="00BA7A9C" w:rsidRPr="00106D3A">
        <w:rPr>
          <w:rFonts w:hint="cs"/>
          <w:sz w:val="24"/>
          <w:rtl/>
        </w:rPr>
        <w:t xml:space="preserve">, </w:t>
      </w:r>
      <w:r w:rsidR="0030521C" w:rsidRPr="00106D3A">
        <w:rPr>
          <w:rFonts w:hint="cs"/>
          <w:sz w:val="24"/>
          <w:rtl/>
        </w:rPr>
        <w:t xml:space="preserve">נדרשת לתת מענה לריבוי </w:t>
      </w:r>
      <w:r w:rsidR="00A84B4F" w:rsidRPr="00106D3A">
        <w:rPr>
          <w:rFonts w:hint="cs"/>
          <w:sz w:val="24"/>
          <w:rtl/>
        </w:rPr>
        <w:t xml:space="preserve">החזונות החוקתיים </w:t>
      </w:r>
      <w:r w:rsidR="0030521C" w:rsidRPr="00106D3A">
        <w:rPr>
          <w:rFonts w:hint="cs"/>
          <w:sz w:val="24"/>
          <w:rtl/>
        </w:rPr>
        <w:t xml:space="preserve">ולמחלוקות </w:t>
      </w:r>
      <w:r w:rsidR="00D44498" w:rsidRPr="00106D3A">
        <w:rPr>
          <w:rFonts w:hint="cs"/>
          <w:sz w:val="24"/>
          <w:rtl/>
        </w:rPr>
        <w:t xml:space="preserve">הערכיות </w:t>
      </w:r>
      <w:r w:rsidR="0030521C" w:rsidRPr="00106D3A">
        <w:rPr>
          <w:rFonts w:hint="cs"/>
          <w:sz w:val="24"/>
          <w:rtl/>
        </w:rPr>
        <w:t xml:space="preserve">שבאות עמו. </w:t>
      </w:r>
      <w:r w:rsidR="002A5430" w:rsidRPr="00106D3A">
        <w:rPr>
          <w:rFonts w:hint="cs"/>
          <w:sz w:val="24"/>
          <w:rtl/>
        </w:rPr>
        <w:t xml:space="preserve">כמובן לא כולם יכולים "לנצח" בסופו של תהליך, ולא </w:t>
      </w:r>
      <w:r w:rsidR="00B96EDE" w:rsidRPr="00106D3A">
        <w:rPr>
          <w:rFonts w:hint="cs"/>
          <w:sz w:val="24"/>
          <w:rtl/>
        </w:rPr>
        <w:t>כל התפיסות המתחרות יוכלו להתממש במלואן</w:t>
      </w:r>
      <w:r w:rsidR="00617EC2" w:rsidRPr="00106D3A">
        <w:rPr>
          <w:rFonts w:hint="cs"/>
          <w:sz w:val="24"/>
          <w:rtl/>
        </w:rPr>
        <w:t>;</w:t>
      </w:r>
      <w:r w:rsidR="00B96EDE" w:rsidRPr="00106D3A">
        <w:rPr>
          <w:rFonts w:hint="cs"/>
          <w:sz w:val="24"/>
          <w:rtl/>
        </w:rPr>
        <w:t xml:space="preserve"> </w:t>
      </w:r>
      <w:r w:rsidR="00617EC2" w:rsidRPr="00106D3A">
        <w:rPr>
          <w:rFonts w:hint="cs"/>
          <w:sz w:val="24"/>
          <w:rtl/>
        </w:rPr>
        <w:t>דמוקרטיה היא גם מנגנון להכרעה בין העדפות סותרות.</w:t>
      </w:r>
      <w:r w:rsidR="00373D53" w:rsidRPr="00106D3A">
        <w:rPr>
          <w:rStyle w:val="FootnoteReference"/>
          <w:sz w:val="24"/>
          <w:rtl/>
        </w:rPr>
        <w:footnoteReference w:id="102"/>
      </w:r>
      <w:r w:rsidR="00617EC2" w:rsidRPr="00106D3A">
        <w:rPr>
          <w:rFonts w:hint="cs"/>
          <w:sz w:val="24"/>
          <w:rtl/>
        </w:rPr>
        <w:t xml:space="preserve"> </w:t>
      </w:r>
      <w:r w:rsidR="00352F8A" w:rsidRPr="00106D3A">
        <w:rPr>
          <w:rFonts w:hint="cs"/>
          <w:sz w:val="24"/>
          <w:rtl/>
        </w:rPr>
        <w:t>אך ניתן עדיין לתבוע מן המדינה ליצור תנאים שיאפשרו לתפיסות השונות לקבל ביטוי, להישמע ולהשפיע על עיצוב ההחלטות הציבוריות. באופן זה היא תכבד את התפיסות האח</w:t>
      </w:r>
      <w:r w:rsidR="00C63885" w:rsidRPr="00106D3A">
        <w:rPr>
          <w:rFonts w:hint="cs"/>
          <w:sz w:val="24"/>
          <w:rtl/>
        </w:rPr>
        <w:t>רות, גם אם לא תממש אותן במלואן, וחשוב מכך: באופן זה היא תעשיר את ההליך החוקתי במידע, ברעיונות וב</w:t>
      </w:r>
      <w:r w:rsidR="00617FA5" w:rsidRPr="00106D3A">
        <w:rPr>
          <w:rFonts w:hint="cs"/>
          <w:sz w:val="24"/>
          <w:rtl/>
        </w:rPr>
        <w:t xml:space="preserve">נקודות </w:t>
      </w:r>
      <w:r w:rsidR="00C63885" w:rsidRPr="00106D3A">
        <w:rPr>
          <w:rFonts w:hint="cs"/>
          <w:sz w:val="24"/>
          <w:rtl/>
        </w:rPr>
        <w:t xml:space="preserve">מבט שעשויות להיעדר משיח </w:t>
      </w:r>
      <w:r w:rsidR="00AB65AD" w:rsidRPr="00106D3A">
        <w:rPr>
          <w:rFonts w:hint="cs"/>
          <w:sz w:val="24"/>
          <w:rtl/>
        </w:rPr>
        <w:t>ריכוזי</w:t>
      </w:r>
      <w:r w:rsidR="004E686C" w:rsidRPr="00106D3A">
        <w:rPr>
          <w:rFonts w:hint="cs"/>
          <w:sz w:val="24"/>
          <w:rtl/>
        </w:rPr>
        <w:t>-</w:t>
      </w:r>
      <w:r w:rsidR="00E64E11" w:rsidRPr="00106D3A">
        <w:rPr>
          <w:rFonts w:hint="cs"/>
          <w:sz w:val="24"/>
          <w:rtl/>
        </w:rPr>
        <w:t>מונוליתי.</w:t>
      </w:r>
    </w:p>
    <w:p w:rsidR="008C4995" w:rsidRPr="00106D3A" w:rsidRDefault="00F937C6" w:rsidP="00714DF4">
      <w:pPr>
        <w:ind w:firstLine="720"/>
        <w:jc w:val="both"/>
        <w:rPr>
          <w:sz w:val="24"/>
          <w:rtl/>
        </w:rPr>
      </w:pPr>
      <w:r w:rsidRPr="00106D3A">
        <w:rPr>
          <w:rFonts w:hint="cs"/>
          <w:sz w:val="24"/>
          <w:rtl/>
        </w:rPr>
        <w:t xml:space="preserve">ההתדיינות החוקתית בערכאות הדיון </w:t>
      </w:r>
      <w:r w:rsidR="004E68B9" w:rsidRPr="00106D3A">
        <w:rPr>
          <w:sz w:val="24"/>
          <w:rtl/>
        </w:rPr>
        <w:t>–</w:t>
      </w:r>
      <w:r w:rsidR="004E68B9" w:rsidRPr="00106D3A">
        <w:rPr>
          <w:rFonts w:hint="cs"/>
          <w:sz w:val="24"/>
          <w:rtl/>
        </w:rPr>
        <w:t xml:space="preserve"> ביקורת שיפוטית ביזורית </w:t>
      </w:r>
      <w:r w:rsidR="004E68B9" w:rsidRPr="00106D3A">
        <w:rPr>
          <w:sz w:val="24"/>
          <w:rtl/>
        </w:rPr>
        <w:t>–</w:t>
      </w:r>
      <w:r w:rsidR="004E68B9" w:rsidRPr="00106D3A">
        <w:rPr>
          <w:rFonts w:hint="cs"/>
          <w:sz w:val="24"/>
          <w:rtl/>
        </w:rPr>
        <w:t xml:space="preserve"> </w:t>
      </w:r>
      <w:r w:rsidRPr="00106D3A">
        <w:rPr>
          <w:rFonts w:hint="cs"/>
          <w:sz w:val="24"/>
          <w:rtl/>
        </w:rPr>
        <w:t xml:space="preserve">יכולה </w:t>
      </w:r>
      <w:r w:rsidR="00295ADA" w:rsidRPr="00106D3A">
        <w:rPr>
          <w:rFonts w:hint="cs"/>
          <w:sz w:val="24"/>
          <w:rtl/>
        </w:rPr>
        <w:t>לספק</w:t>
      </w:r>
      <w:r w:rsidR="007F7021" w:rsidRPr="00106D3A">
        <w:rPr>
          <w:rFonts w:hint="cs"/>
          <w:sz w:val="24"/>
          <w:rtl/>
        </w:rPr>
        <w:t xml:space="preserve"> לפחות </w:t>
      </w:r>
      <w:r w:rsidR="00295ADA" w:rsidRPr="00106D3A">
        <w:rPr>
          <w:rFonts w:hint="cs"/>
          <w:sz w:val="24"/>
          <w:rtl/>
        </w:rPr>
        <w:t>חלק</w:t>
      </w:r>
      <w:r w:rsidR="007F7021" w:rsidRPr="00106D3A">
        <w:rPr>
          <w:rFonts w:hint="cs"/>
          <w:sz w:val="24"/>
          <w:rtl/>
        </w:rPr>
        <w:t xml:space="preserve"> </w:t>
      </w:r>
      <w:r w:rsidR="004E68B9" w:rsidRPr="00106D3A">
        <w:rPr>
          <w:rFonts w:hint="cs"/>
          <w:sz w:val="24"/>
          <w:rtl/>
        </w:rPr>
        <w:t xml:space="preserve">מן התנאים המוסדיים הנדרשים למתן מענה לשני האתגרים הישראליים הללו. </w:t>
      </w:r>
      <w:r w:rsidR="007F7021" w:rsidRPr="00106D3A">
        <w:rPr>
          <w:rFonts w:hint="cs"/>
          <w:sz w:val="24"/>
          <w:rtl/>
        </w:rPr>
        <w:t xml:space="preserve">בגלל האופי הנגיש והמרובה שלה, </w:t>
      </w:r>
      <w:r w:rsidR="0015127A" w:rsidRPr="00106D3A">
        <w:rPr>
          <w:rFonts w:hint="cs"/>
          <w:sz w:val="24"/>
          <w:rtl/>
        </w:rPr>
        <w:t xml:space="preserve">היא יכולה להפוך לזירה זמינה להתדיינות נמשכת בין בני החברה, ברמות שונות של מעורבות ותחכום, על הנורמות החוקתיות ועל משמעותן. </w:t>
      </w:r>
      <w:r w:rsidR="009B640B" w:rsidRPr="00106D3A">
        <w:rPr>
          <w:rFonts w:hint="cs"/>
          <w:sz w:val="24"/>
          <w:rtl/>
        </w:rPr>
        <w:t>בדרך זו היא תהפוך את החוקה הישראלית ל</w:t>
      </w:r>
      <w:r w:rsidR="00483508" w:rsidRPr="00106D3A">
        <w:rPr>
          <w:rFonts w:hint="cs"/>
          <w:sz w:val="24"/>
          <w:rtl/>
        </w:rPr>
        <w:t>מצע חי לדיון ו</w:t>
      </w:r>
      <w:r w:rsidR="0060474B" w:rsidRPr="00106D3A">
        <w:rPr>
          <w:rFonts w:hint="cs"/>
          <w:sz w:val="24"/>
          <w:rtl/>
        </w:rPr>
        <w:t>ל</w:t>
      </w:r>
      <w:r w:rsidR="00483508" w:rsidRPr="00106D3A">
        <w:rPr>
          <w:rFonts w:hint="cs"/>
          <w:sz w:val="24"/>
          <w:rtl/>
        </w:rPr>
        <w:t xml:space="preserve">שיחה </w:t>
      </w:r>
      <w:r w:rsidR="0092577F" w:rsidRPr="00106D3A">
        <w:rPr>
          <w:rFonts w:hint="cs"/>
          <w:sz w:val="24"/>
          <w:rtl/>
        </w:rPr>
        <w:t xml:space="preserve">על סוגיות חוקתיות, וזאת </w:t>
      </w:r>
      <w:r w:rsidR="00483508" w:rsidRPr="00106D3A">
        <w:rPr>
          <w:rFonts w:hint="cs"/>
          <w:sz w:val="24"/>
          <w:rtl/>
        </w:rPr>
        <w:t xml:space="preserve">בתנאים המסוגננים של ההליך השיפוטי, כלומר </w:t>
      </w:r>
      <w:r w:rsidR="0092577F" w:rsidRPr="00106D3A">
        <w:rPr>
          <w:rFonts w:hint="cs"/>
          <w:sz w:val="24"/>
          <w:rtl/>
        </w:rPr>
        <w:t xml:space="preserve">באופן המחייב פניה לטיעונים רציונליים וכיבוד של טיעוני נגד. </w:t>
      </w:r>
      <w:r w:rsidR="007463EF" w:rsidRPr="00106D3A">
        <w:rPr>
          <w:rFonts w:hint="cs"/>
          <w:sz w:val="24"/>
          <w:rtl/>
        </w:rPr>
        <w:t xml:space="preserve">בה בעת, </w:t>
      </w:r>
      <w:r w:rsidR="004D14B7" w:rsidRPr="00106D3A">
        <w:rPr>
          <w:rFonts w:hint="cs"/>
          <w:sz w:val="24"/>
          <w:rtl/>
        </w:rPr>
        <w:t xml:space="preserve">בגלל המעמד הראשוני שלה והגיוון המובנה בה, התדיינות חוקתית בערכאות הדיון </w:t>
      </w:r>
      <w:r w:rsidR="00F3324D" w:rsidRPr="00106D3A">
        <w:rPr>
          <w:rFonts w:hint="cs"/>
          <w:sz w:val="24"/>
          <w:rtl/>
        </w:rPr>
        <w:t xml:space="preserve">יכולה לשמש מקום בו חזונות חוקתיים שונים ומתחרים מוצאים את ביטויים ולעתים אפילו מתממשים, גם אם בהקשר המוגבל של </w:t>
      </w:r>
      <w:r w:rsidR="00DD58AB" w:rsidRPr="00106D3A">
        <w:rPr>
          <w:rFonts w:hint="cs"/>
          <w:sz w:val="24"/>
          <w:rtl/>
        </w:rPr>
        <w:t>פסיקה מקומית ב</w:t>
      </w:r>
      <w:r w:rsidR="00F3324D" w:rsidRPr="00106D3A">
        <w:rPr>
          <w:rFonts w:hint="cs"/>
          <w:sz w:val="24"/>
          <w:rtl/>
        </w:rPr>
        <w:t>הליך</w:t>
      </w:r>
      <w:r w:rsidR="00DD58AB" w:rsidRPr="00106D3A">
        <w:rPr>
          <w:rFonts w:hint="cs"/>
          <w:sz w:val="24"/>
          <w:rtl/>
        </w:rPr>
        <w:t xml:space="preserve"> נתון</w:t>
      </w:r>
      <w:r w:rsidR="00F3324D" w:rsidRPr="00106D3A">
        <w:rPr>
          <w:rFonts w:hint="cs"/>
          <w:sz w:val="24"/>
          <w:rtl/>
        </w:rPr>
        <w:t xml:space="preserve">. </w:t>
      </w:r>
    </w:p>
    <w:p w:rsidR="00AB1980" w:rsidRPr="00106D3A" w:rsidRDefault="00AB1980" w:rsidP="008444DC">
      <w:pPr>
        <w:ind w:firstLine="720"/>
        <w:jc w:val="both"/>
        <w:rPr>
          <w:sz w:val="24"/>
          <w:rtl/>
        </w:rPr>
      </w:pPr>
      <w:r w:rsidRPr="00106D3A">
        <w:rPr>
          <w:rFonts w:hint="cs"/>
          <w:sz w:val="24"/>
          <w:rtl/>
        </w:rPr>
        <w:lastRenderedPageBreak/>
        <w:t xml:space="preserve">כאשר המחלוקות החוקתיות </w:t>
      </w:r>
      <w:r w:rsidR="0072407A" w:rsidRPr="00106D3A">
        <w:rPr>
          <w:rFonts w:hint="cs"/>
          <w:sz w:val="24"/>
          <w:rtl/>
        </w:rPr>
        <w:t>מתחילות ומסתיימות בהליך יחיד בפני בית המשפט העליון</w:t>
      </w:r>
      <w:r w:rsidR="001609B3" w:rsidRPr="00106D3A">
        <w:rPr>
          <w:rFonts w:hint="cs"/>
          <w:sz w:val="24"/>
          <w:rtl/>
        </w:rPr>
        <w:t xml:space="preserve"> במסורת הריכוזית</w:t>
      </w:r>
      <w:r w:rsidR="0072407A" w:rsidRPr="00106D3A">
        <w:rPr>
          <w:rFonts w:hint="cs"/>
          <w:sz w:val="24"/>
          <w:rtl/>
        </w:rPr>
        <w:t xml:space="preserve">, </w:t>
      </w:r>
      <w:r w:rsidR="000F781B" w:rsidRPr="00106D3A">
        <w:rPr>
          <w:rFonts w:hint="cs"/>
          <w:sz w:val="24"/>
          <w:rtl/>
        </w:rPr>
        <w:t>התוצאה השיפוטית הבודדת מכריעה באופן סופי</w:t>
      </w:r>
      <w:r w:rsidR="00DF4144" w:rsidRPr="00106D3A">
        <w:rPr>
          <w:rFonts w:hint="cs"/>
          <w:sz w:val="24"/>
          <w:rtl/>
        </w:rPr>
        <w:t xml:space="preserve">, ומאוינת ההזדמנות לשמר לאורך זמן </w:t>
      </w:r>
      <w:r w:rsidR="00DF4144" w:rsidRPr="00106D3A">
        <w:rPr>
          <w:sz w:val="24"/>
          <w:rtl/>
        </w:rPr>
        <w:t>–</w:t>
      </w:r>
      <w:r w:rsidR="00DF4144" w:rsidRPr="00106D3A">
        <w:rPr>
          <w:rFonts w:hint="cs"/>
          <w:sz w:val="24"/>
          <w:rtl/>
        </w:rPr>
        <w:t xml:space="preserve"> גם אם לא לתמיד </w:t>
      </w:r>
      <w:r w:rsidR="00DF4144" w:rsidRPr="00106D3A">
        <w:rPr>
          <w:sz w:val="24"/>
          <w:rtl/>
        </w:rPr>
        <w:t>–</w:t>
      </w:r>
      <w:r w:rsidR="00DF4144" w:rsidRPr="00106D3A">
        <w:rPr>
          <w:rFonts w:hint="cs"/>
          <w:sz w:val="24"/>
          <w:rtl/>
        </w:rPr>
        <w:t xml:space="preserve"> מגוון של קולות נורמטיביים בתוך מערכת המשפט.</w:t>
      </w:r>
      <w:r w:rsidR="00030B2C" w:rsidRPr="00106D3A">
        <w:rPr>
          <w:rFonts w:hint="cs"/>
          <w:sz w:val="24"/>
          <w:rtl/>
        </w:rPr>
        <w:t xml:space="preserve"> </w:t>
      </w:r>
      <w:r w:rsidR="008C4995" w:rsidRPr="00106D3A">
        <w:rPr>
          <w:rFonts w:hint="cs"/>
          <w:sz w:val="24"/>
          <w:rtl/>
        </w:rPr>
        <w:t xml:space="preserve">ההכרעה השיפוטית, כתב רוברט </w:t>
      </w:r>
      <w:proofErr w:type="spellStart"/>
      <w:r w:rsidR="008C4995" w:rsidRPr="00106D3A">
        <w:rPr>
          <w:rFonts w:hint="cs"/>
          <w:sz w:val="24"/>
          <w:rtl/>
        </w:rPr>
        <w:t>קאבר</w:t>
      </w:r>
      <w:proofErr w:type="spellEnd"/>
      <w:r w:rsidR="008C4995" w:rsidRPr="00106D3A">
        <w:rPr>
          <w:rFonts w:hint="cs"/>
          <w:sz w:val="24"/>
          <w:rtl/>
        </w:rPr>
        <w:t xml:space="preserve">, היא </w:t>
      </w:r>
      <w:proofErr w:type="spellStart"/>
      <w:r w:rsidR="008C4995" w:rsidRPr="00106D3A">
        <w:rPr>
          <w:rFonts w:hint="cs"/>
          <w:sz w:val="24"/>
          <w:rtl/>
        </w:rPr>
        <w:t>ארוע</w:t>
      </w:r>
      <w:proofErr w:type="spellEnd"/>
      <w:r w:rsidR="008C4995" w:rsidRPr="00106D3A">
        <w:rPr>
          <w:rFonts w:hint="cs"/>
          <w:sz w:val="24"/>
          <w:rtl/>
        </w:rPr>
        <w:t xml:space="preserve"> "הורג-משפט" (</w:t>
      </w:r>
      <w:proofErr w:type="spellStart"/>
      <w:r w:rsidR="008C4995" w:rsidRPr="00106D3A">
        <w:rPr>
          <w:sz w:val="24"/>
        </w:rPr>
        <w:t>jurispathic</w:t>
      </w:r>
      <w:proofErr w:type="spellEnd"/>
      <w:r w:rsidR="008C4995" w:rsidRPr="00106D3A">
        <w:rPr>
          <w:rFonts w:hint="cs"/>
          <w:sz w:val="24"/>
          <w:rtl/>
        </w:rPr>
        <w:t>), משום שבאמצה תפיסה נורמטיבית אחת היא ממילא דוחה תפיסה חלופית.</w:t>
      </w:r>
      <w:r w:rsidR="008444DC" w:rsidRPr="00106D3A">
        <w:rPr>
          <w:rStyle w:val="FootnoteReference"/>
          <w:sz w:val="24"/>
          <w:rtl/>
        </w:rPr>
        <w:footnoteReference w:id="103"/>
      </w:r>
      <w:r w:rsidR="008C4995" w:rsidRPr="00106D3A">
        <w:rPr>
          <w:rFonts w:hint="cs"/>
          <w:sz w:val="24"/>
          <w:rtl/>
        </w:rPr>
        <w:t xml:space="preserve"> אלא שאמירה זו נכונה במיוחד לפסיקה תקדימית של בית משפט עליון. פסיקותיהן של ערכאות הדיון ממיתות אף הן חלופות שנדחו, אך הן אינן מונעות מאותן חלופות את ההזדמנות לשוב ולהתברר בהליך חדש בערכאה מקבילה. </w:t>
      </w:r>
      <w:r w:rsidR="00030B2C" w:rsidRPr="00106D3A">
        <w:rPr>
          <w:rFonts w:hint="cs"/>
          <w:sz w:val="24"/>
          <w:rtl/>
        </w:rPr>
        <w:t xml:space="preserve">שיטת משפט שמבקשת לשמר תוכן פלורליסטי </w:t>
      </w:r>
      <w:r w:rsidR="00165A18" w:rsidRPr="00106D3A">
        <w:rPr>
          <w:rFonts w:hint="cs"/>
          <w:sz w:val="24"/>
          <w:rtl/>
        </w:rPr>
        <w:t>בתוצרים השיפוטיים שלה</w:t>
      </w:r>
      <w:r w:rsidR="008412DE" w:rsidRPr="00106D3A">
        <w:rPr>
          <w:rFonts w:hint="cs"/>
          <w:sz w:val="24"/>
          <w:rtl/>
        </w:rPr>
        <w:t>, ואשר מבקשת לעודד דיון על מחלוקות כאובות ולא להשתיקו,</w:t>
      </w:r>
      <w:r w:rsidR="00871592" w:rsidRPr="00106D3A">
        <w:rPr>
          <w:rStyle w:val="FootnoteReference"/>
          <w:sz w:val="24"/>
          <w:rtl/>
        </w:rPr>
        <w:footnoteReference w:id="104"/>
      </w:r>
      <w:r w:rsidR="00165A18" w:rsidRPr="00106D3A">
        <w:rPr>
          <w:rFonts w:hint="cs"/>
          <w:sz w:val="24"/>
          <w:rtl/>
        </w:rPr>
        <w:t xml:space="preserve"> נדרשת לתרגם זאת לעיצוב מוסדי. </w:t>
      </w:r>
      <w:r w:rsidR="002F5E9D" w:rsidRPr="00106D3A">
        <w:rPr>
          <w:rFonts w:hint="cs"/>
          <w:sz w:val="24"/>
          <w:rtl/>
        </w:rPr>
        <w:t xml:space="preserve">ביקורת שיפוטית ביזורית </w:t>
      </w:r>
      <w:r w:rsidR="00291BF5" w:rsidRPr="00106D3A">
        <w:rPr>
          <w:rFonts w:hint="cs"/>
          <w:sz w:val="24"/>
          <w:rtl/>
        </w:rPr>
        <w:t>היא תבנית מוסדית ש</w:t>
      </w:r>
      <w:r w:rsidR="002F5E9D" w:rsidRPr="00106D3A">
        <w:rPr>
          <w:rFonts w:hint="cs"/>
          <w:sz w:val="24"/>
          <w:rtl/>
        </w:rPr>
        <w:t xml:space="preserve">מאפשרת ליותר קולות </w:t>
      </w:r>
      <w:r w:rsidR="00714DF4" w:rsidRPr="00106D3A">
        <w:rPr>
          <w:rFonts w:hint="cs"/>
          <w:sz w:val="24"/>
          <w:rtl/>
        </w:rPr>
        <w:t xml:space="preserve">בשיח החוקתי </w:t>
      </w:r>
      <w:r w:rsidR="002F5E9D" w:rsidRPr="00106D3A">
        <w:rPr>
          <w:rFonts w:hint="cs"/>
          <w:sz w:val="24"/>
          <w:rtl/>
        </w:rPr>
        <w:t xml:space="preserve">להישמע </w:t>
      </w:r>
      <w:r w:rsidR="006B2527" w:rsidRPr="00106D3A">
        <w:rPr>
          <w:rFonts w:hint="cs"/>
          <w:sz w:val="24"/>
          <w:rtl/>
        </w:rPr>
        <w:t xml:space="preserve">ולהשפיע למשך יותר זמן מאשר החלופה הריכוזית. </w:t>
      </w:r>
    </w:p>
    <w:p w:rsidR="00E10384" w:rsidRPr="00106D3A" w:rsidRDefault="00E10384" w:rsidP="00AB1980">
      <w:pPr>
        <w:ind w:firstLine="720"/>
        <w:jc w:val="both"/>
        <w:rPr>
          <w:sz w:val="24"/>
          <w:rtl/>
        </w:rPr>
      </w:pPr>
    </w:p>
    <w:p w:rsidR="00E10384" w:rsidRPr="00106D3A" w:rsidRDefault="00D96898" w:rsidP="007D2D6E">
      <w:pPr>
        <w:pStyle w:val="Heading1"/>
        <w:numPr>
          <w:ilvl w:val="0"/>
          <w:numId w:val="8"/>
        </w:numPr>
        <w:rPr>
          <w:rtl/>
        </w:rPr>
      </w:pPr>
      <w:bookmarkStart w:id="39" w:name="_Toc372223061"/>
      <w:r w:rsidRPr="00106D3A">
        <w:rPr>
          <w:rFonts w:hint="cs"/>
          <w:rtl/>
        </w:rPr>
        <w:t xml:space="preserve">ביקורות </w:t>
      </w:r>
      <w:r w:rsidR="00557B51" w:rsidRPr="00106D3A">
        <w:rPr>
          <w:rFonts w:hint="cs"/>
          <w:rtl/>
        </w:rPr>
        <w:t xml:space="preserve">המודל הביזורי </w:t>
      </w:r>
      <w:r w:rsidR="00557B51" w:rsidRPr="00106D3A">
        <w:rPr>
          <w:rtl/>
        </w:rPr>
        <w:t>–</w:t>
      </w:r>
      <w:r w:rsidR="00557B51" w:rsidRPr="00106D3A">
        <w:rPr>
          <w:rFonts w:hint="cs"/>
          <w:rtl/>
        </w:rPr>
        <w:t xml:space="preserve"> </w:t>
      </w:r>
      <w:r w:rsidRPr="00106D3A">
        <w:rPr>
          <w:rFonts w:hint="cs"/>
          <w:rtl/>
        </w:rPr>
        <w:t>ומענה להן</w:t>
      </w:r>
      <w:bookmarkEnd w:id="39"/>
    </w:p>
    <w:p w:rsidR="00E10384" w:rsidRPr="00106D3A" w:rsidRDefault="00AA65C3" w:rsidP="0028230D">
      <w:pPr>
        <w:ind w:firstLine="720"/>
        <w:jc w:val="both"/>
        <w:rPr>
          <w:sz w:val="24"/>
          <w:rtl/>
        </w:rPr>
      </w:pPr>
      <w:r w:rsidRPr="00106D3A">
        <w:rPr>
          <w:rFonts w:hint="cs"/>
          <w:sz w:val="24"/>
          <w:rtl/>
        </w:rPr>
        <w:t xml:space="preserve">הטיעון הדמוקרטי בזכות ביקורת שיפוטית ביזורית אינו חסין </w:t>
      </w:r>
      <w:r w:rsidR="00E03C59" w:rsidRPr="00106D3A">
        <w:rPr>
          <w:rFonts w:hint="cs"/>
          <w:sz w:val="24"/>
          <w:rtl/>
        </w:rPr>
        <w:t xml:space="preserve">כמובן </w:t>
      </w:r>
      <w:r w:rsidRPr="00106D3A">
        <w:rPr>
          <w:rFonts w:hint="cs"/>
          <w:sz w:val="24"/>
          <w:rtl/>
        </w:rPr>
        <w:t xml:space="preserve">מביקורות </w:t>
      </w:r>
      <w:r w:rsidR="00DC75DE" w:rsidRPr="00106D3A">
        <w:rPr>
          <w:rFonts w:hint="cs"/>
          <w:sz w:val="24"/>
          <w:rtl/>
        </w:rPr>
        <w:t xml:space="preserve">ומטיעוני נגד. בפרק זה אתייחס </w:t>
      </w:r>
      <w:r w:rsidR="0028230D" w:rsidRPr="00106D3A">
        <w:rPr>
          <w:rFonts w:hint="cs"/>
          <w:sz w:val="24"/>
          <w:rtl/>
        </w:rPr>
        <w:t>לחמש</w:t>
      </w:r>
      <w:r w:rsidR="00DC75DE" w:rsidRPr="00106D3A">
        <w:rPr>
          <w:rFonts w:hint="cs"/>
          <w:sz w:val="24"/>
          <w:rtl/>
        </w:rPr>
        <w:t xml:space="preserve"> ביקורות שנראות בעיני בעלות העוצמה הרבה ביו</w:t>
      </w:r>
      <w:r w:rsidR="00D35FB4" w:rsidRPr="00106D3A">
        <w:rPr>
          <w:rFonts w:hint="cs"/>
          <w:sz w:val="24"/>
          <w:rtl/>
        </w:rPr>
        <w:t>תר, ואבקש להציע</w:t>
      </w:r>
      <w:r w:rsidR="00A55576" w:rsidRPr="00106D3A">
        <w:rPr>
          <w:rFonts w:hint="cs"/>
          <w:sz w:val="24"/>
          <w:rtl/>
        </w:rPr>
        <w:t xml:space="preserve"> להן תשובות. </w:t>
      </w:r>
      <w:r w:rsidR="002F02A0" w:rsidRPr="00106D3A">
        <w:rPr>
          <w:rFonts w:hint="cs"/>
          <w:sz w:val="24"/>
          <w:rtl/>
        </w:rPr>
        <w:t>אומר כבר</w:t>
      </w:r>
      <w:r w:rsidR="00A53CAF" w:rsidRPr="00106D3A">
        <w:rPr>
          <w:rFonts w:hint="cs"/>
          <w:sz w:val="24"/>
          <w:rtl/>
        </w:rPr>
        <w:t xml:space="preserve"> שאיני סבור שניתן לבטל את הביקורות באופן מוחלט. </w:t>
      </w:r>
      <w:r w:rsidR="00CE696F" w:rsidRPr="00106D3A">
        <w:rPr>
          <w:rFonts w:hint="cs"/>
          <w:sz w:val="24"/>
          <w:rtl/>
        </w:rPr>
        <w:t xml:space="preserve">הטיעון בזכות ביקורת שיפוטית ביזורית מעורר גם קשיים וההסדר שהוא מציע כרוך גם בעלויות. טענתי היא שבסופו של חישוב, ובנסיבותיו של המצב החוקתי הישראלי, </w:t>
      </w:r>
      <w:r w:rsidR="00601B2B" w:rsidRPr="00106D3A">
        <w:rPr>
          <w:rFonts w:hint="cs"/>
          <w:sz w:val="24"/>
          <w:rtl/>
        </w:rPr>
        <w:t xml:space="preserve">הסדר זה עדיף על החלופות לו. </w:t>
      </w:r>
    </w:p>
    <w:p w:rsidR="00E81CB5" w:rsidRPr="00106D3A" w:rsidRDefault="00E81CB5" w:rsidP="00601B2B">
      <w:pPr>
        <w:ind w:firstLine="720"/>
        <w:jc w:val="both"/>
        <w:rPr>
          <w:sz w:val="24"/>
          <w:rtl/>
        </w:rPr>
      </w:pPr>
    </w:p>
    <w:p w:rsidR="00E81CB5" w:rsidRPr="00106D3A" w:rsidRDefault="00621FF2" w:rsidP="00D374A3">
      <w:pPr>
        <w:pStyle w:val="Heading2"/>
        <w:numPr>
          <w:ilvl w:val="0"/>
          <w:numId w:val="15"/>
        </w:numPr>
      </w:pPr>
      <w:bookmarkStart w:id="40" w:name="_Toc372223062"/>
      <w:r w:rsidRPr="00106D3A">
        <w:rPr>
          <w:rFonts w:hint="cs"/>
          <w:rtl/>
        </w:rPr>
        <w:t>ודאות</w:t>
      </w:r>
      <w:bookmarkEnd w:id="40"/>
    </w:p>
    <w:p w:rsidR="00A91217" w:rsidRPr="00106D3A" w:rsidRDefault="00D84A25" w:rsidP="00A044F7">
      <w:pPr>
        <w:ind w:firstLine="720"/>
        <w:jc w:val="both"/>
        <w:rPr>
          <w:sz w:val="24"/>
          <w:rtl/>
        </w:rPr>
      </w:pPr>
      <w:r w:rsidRPr="00106D3A">
        <w:rPr>
          <w:rFonts w:hint="cs"/>
          <w:sz w:val="24"/>
          <w:rtl/>
        </w:rPr>
        <w:t xml:space="preserve">הטיעון הבסיסי ביותר נגד כל מהלך של ביזור מתמקד באי-ודאות הנורמטיבית שפסיקות רבות וסותרות עלולות לגרום </w:t>
      </w:r>
      <w:r w:rsidR="00237677" w:rsidRPr="00106D3A">
        <w:rPr>
          <w:rFonts w:hint="cs"/>
          <w:sz w:val="24"/>
          <w:rtl/>
        </w:rPr>
        <w:t xml:space="preserve">לצרכני המשפט. </w:t>
      </w:r>
      <w:r w:rsidR="00C06951" w:rsidRPr="00106D3A">
        <w:rPr>
          <w:rFonts w:hint="cs"/>
          <w:sz w:val="24"/>
          <w:rtl/>
        </w:rPr>
        <w:t xml:space="preserve">כל עוד אין הכרעה תקדימית של בית המשפט העליון בשאלה החוקתית, </w:t>
      </w:r>
      <w:r w:rsidR="00A91217" w:rsidRPr="00106D3A">
        <w:rPr>
          <w:rFonts w:hint="cs"/>
          <w:sz w:val="24"/>
          <w:rtl/>
        </w:rPr>
        <w:t xml:space="preserve">לא ניתן לדעת האם החוק תקף </w:t>
      </w:r>
      <w:r w:rsidR="00814881" w:rsidRPr="00106D3A">
        <w:rPr>
          <w:rFonts w:hint="cs"/>
          <w:sz w:val="24"/>
          <w:rtl/>
        </w:rPr>
        <w:t>או לא</w:t>
      </w:r>
      <w:r w:rsidR="00A91217" w:rsidRPr="00106D3A">
        <w:rPr>
          <w:rFonts w:hint="cs"/>
          <w:sz w:val="24"/>
          <w:rtl/>
        </w:rPr>
        <w:t xml:space="preserve">; וכל עוד הדבר נתון להכרעותיהן של ערכאות הדיון השונות, התשובה לשאלה החוקתית עשויה להשתנות לפי דעות השופט שידון בתיק או איכות הפרקליט שיטען בפניו. חוסר ודאות </w:t>
      </w:r>
      <w:r w:rsidR="000B789B" w:rsidRPr="00106D3A">
        <w:rPr>
          <w:rFonts w:hint="cs"/>
          <w:sz w:val="24"/>
          <w:rtl/>
        </w:rPr>
        <w:t xml:space="preserve">כזה הוא דבר יקר, כי הוא מקשה על ההיערכות לתוצאותיה של הנורמה. בנסיבות מסוימות הוא עשוי לחייב רכישת ביטוח מפני הסיכון </w:t>
      </w:r>
      <w:r w:rsidR="009F55CB" w:rsidRPr="00106D3A">
        <w:rPr>
          <w:rFonts w:hint="cs"/>
          <w:sz w:val="24"/>
          <w:rtl/>
        </w:rPr>
        <w:t xml:space="preserve">של </w:t>
      </w:r>
      <w:r w:rsidR="000B789B" w:rsidRPr="00106D3A">
        <w:rPr>
          <w:rFonts w:hint="cs"/>
          <w:sz w:val="24"/>
          <w:rtl/>
        </w:rPr>
        <w:t>תוצאה לא רצויה, ובמקרים בהם נמען הנורמה הוא שונא סיכון, חוסר הוודאות עלול גם לגרום לזניחה של ההתנהגות הרלוונטית כדי שלא להיחש</w:t>
      </w:r>
      <w:r w:rsidR="004B61BA" w:rsidRPr="00106D3A">
        <w:rPr>
          <w:rFonts w:hint="cs"/>
          <w:sz w:val="24"/>
          <w:rtl/>
        </w:rPr>
        <w:t>ף לסיכון שבפרשנות חוקתית</w:t>
      </w:r>
      <w:r w:rsidR="00C26F6B" w:rsidRPr="00106D3A">
        <w:rPr>
          <w:rFonts w:hint="cs"/>
          <w:sz w:val="24"/>
          <w:rtl/>
        </w:rPr>
        <w:t xml:space="preserve"> נוגדת, וזאת אף שייתכן שההתנהגות רצויה מבחינה חברתית</w:t>
      </w:r>
      <w:r w:rsidR="004B61BA" w:rsidRPr="00106D3A">
        <w:rPr>
          <w:rFonts w:hint="cs"/>
          <w:sz w:val="24"/>
          <w:rtl/>
        </w:rPr>
        <w:t xml:space="preserve">. </w:t>
      </w:r>
      <w:r w:rsidR="00935B89" w:rsidRPr="00106D3A">
        <w:rPr>
          <w:rFonts w:hint="cs"/>
          <w:sz w:val="24"/>
          <w:rtl/>
        </w:rPr>
        <w:t>יתרה מכך, אי-ודאות בדין נתפס</w:t>
      </w:r>
      <w:r w:rsidR="006805E4" w:rsidRPr="00106D3A">
        <w:rPr>
          <w:rFonts w:hint="cs"/>
          <w:sz w:val="24"/>
          <w:rtl/>
        </w:rPr>
        <w:t>ת</w:t>
      </w:r>
      <w:r w:rsidR="00935B89" w:rsidRPr="00106D3A">
        <w:rPr>
          <w:rFonts w:hint="cs"/>
          <w:sz w:val="24"/>
          <w:rtl/>
        </w:rPr>
        <w:t xml:space="preserve"> גם כפגם במוסריותה של מערכת המשפט, שכושלת במשימה </w:t>
      </w:r>
      <w:r w:rsidR="00DB3909" w:rsidRPr="00106D3A">
        <w:rPr>
          <w:rFonts w:hint="cs"/>
          <w:sz w:val="24"/>
          <w:rtl/>
        </w:rPr>
        <w:t xml:space="preserve">המרכזית שלה </w:t>
      </w:r>
      <w:r w:rsidR="00DB3909" w:rsidRPr="00106D3A">
        <w:rPr>
          <w:sz w:val="24"/>
          <w:rtl/>
        </w:rPr>
        <w:t>–</w:t>
      </w:r>
      <w:r w:rsidR="00DB3909" w:rsidRPr="00106D3A">
        <w:rPr>
          <w:rFonts w:hint="cs"/>
          <w:sz w:val="24"/>
          <w:rtl/>
        </w:rPr>
        <w:t xml:space="preserve"> הכוונת התנהגות באמצעים הוגנים ומובנים.</w:t>
      </w:r>
      <w:r w:rsidR="00376433" w:rsidRPr="00106D3A">
        <w:rPr>
          <w:rStyle w:val="FootnoteReference"/>
          <w:sz w:val="24"/>
          <w:rtl/>
        </w:rPr>
        <w:footnoteReference w:id="105"/>
      </w:r>
      <w:r w:rsidR="00DB3909" w:rsidRPr="00106D3A">
        <w:rPr>
          <w:rFonts w:hint="cs"/>
          <w:sz w:val="24"/>
          <w:rtl/>
        </w:rPr>
        <w:t xml:space="preserve"> </w:t>
      </w:r>
    </w:p>
    <w:p w:rsidR="003F0281" w:rsidRPr="00106D3A" w:rsidRDefault="0020469B" w:rsidP="00AC5383">
      <w:pPr>
        <w:ind w:firstLine="720"/>
        <w:jc w:val="both"/>
        <w:rPr>
          <w:sz w:val="24"/>
          <w:rtl/>
        </w:rPr>
      </w:pPr>
      <w:r w:rsidRPr="00106D3A">
        <w:rPr>
          <w:rFonts w:hint="cs"/>
          <w:sz w:val="24"/>
          <w:rtl/>
        </w:rPr>
        <w:t xml:space="preserve">המענה הפשוט לטיעון הוודאות </w:t>
      </w:r>
      <w:r w:rsidR="00FF535D" w:rsidRPr="00106D3A">
        <w:rPr>
          <w:rFonts w:hint="cs"/>
          <w:sz w:val="24"/>
          <w:rtl/>
        </w:rPr>
        <w:t xml:space="preserve">מצוי בתזכורת </w:t>
      </w:r>
      <w:r w:rsidR="006C4DB1" w:rsidRPr="00106D3A">
        <w:rPr>
          <w:rFonts w:hint="cs"/>
          <w:sz w:val="24"/>
          <w:rtl/>
        </w:rPr>
        <w:t>שביזוריות היא למעשה הכלל בשיטת המשפט שלנו</w:t>
      </w:r>
      <w:r w:rsidR="00FF535D" w:rsidRPr="00106D3A">
        <w:rPr>
          <w:rFonts w:hint="cs"/>
          <w:sz w:val="24"/>
          <w:rtl/>
        </w:rPr>
        <w:t>, ולא החריג</w:t>
      </w:r>
      <w:r w:rsidR="006C4DB1" w:rsidRPr="00106D3A">
        <w:rPr>
          <w:rFonts w:hint="cs"/>
          <w:sz w:val="24"/>
          <w:rtl/>
        </w:rPr>
        <w:t xml:space="preserve">. כל שאלה פרשנית </w:t>
      </w:r>
      <w:r w:rsidR="00AC5383" w:rsidRPr="00106D3A">
        <w:rPr>
          <w:rFonts w:hint="cs"/>
          <w:sz w:val="24"/>
          <w:rtl/>
        </w:rPr>
        <w:t xml:space="preserve">אשר </w:t>
      </w:r>
      <w:r w:rsidR="00290712" w:rsidRPr="00106D3A">
        <w:rPr>
          <w:rFonts w:hint="cs"/>
          <w:sz w:val="24"/>
          <w:rtl/>
        </w:rPr>
        <w:t xml:space="preserve">מתעוררת </w:t>
      </w:r>
      <w:r w:rsidR="006C4DB1" w:rsidRPr="00106D3A">
        <w:rPr>
          <w:rFonts w:hint="cs"/>
          <w:sz w:val="24"/>
          <w:rtl/>
        </w:rPr>
        <w:t xml:space="preserve">בתחומי המשפט שנדונים תחילה בערכאות הנמוכות </w:t>
      </w:r>
      <w:r w:rsidR="006C4DB1" w:rsidRPr="00106D3A">
        <w:rPr>
          <w:sz w:val="24"/>
          <w:rtl/>
        </w:rPr>
        <w:t>–</w:t>
      </w:r>
      <w:r w:rsidR="006C4DB1" w:rsidRPr="00106D3A">
        <w:rPr>
          <w:rFonts w:hint="cs"/>
          <w:sz w:val="24"/>
          <w:rtl/>
        </w:rPr>
        <w:t xml:space="preserve"> כל </w:t>
      </w:r>
      <w:r w:rsidR="0008087A" w:rsidRPr="00106D3A">
        <w:rPr>
          <w:rFonts w:hint="cs"/>
          <w:sz w:val="24"/>
          <w:rtl/>
        </w:rPr>
        <w:t xml:space="preserve">המשפט האזרחי והפלילי, למשל </w:t>
      </w:r>
      <w:r w:rsidR="005426CC" w:rsidRPr="00106D3A">
        <w:rPr>
          <w:sz w:val="24"/>
          <w:rtl/>
        </w:rPr>
        <w:t>–</w:t>
      </w:r>
      <w:r w:rsidR="0008087A" w:rsidRPr="00106D3A">
        <w:rPr>
          <w:rFonts w:hint="cs"/>
          <w:sz w:val="24"/>
          <w:rtl/>
        </w:rPr>
        <w:t xml:space="preserve"> </w:t>
      </w:r>
      <w:r w:rsidR="005426CC" w:rsidRPr="00106D3A">
        <w:rPr>
          <w:rFonts w:hint="cs"/>
          <w:sz w:val="24"/>
          <w:rtl/>
        </w:rPr>
        <w:t xml:space="preserve">מקבלת תחילה מענה במסלול הביזורי, טרם יישובה התקדימי בערעור </w:t>
      </w:r>
      <w:r w:rsidR="006E3F9C" w:rsidRPr="00106D3A">
        <w:rPr>
          <w:rFonts w:hint="cs"/>
          <w:sz w:val="24"/>
          <w:rtl/>
        </w:rPr>
        <w:t>ב</w:t>
      </w:r>
      <w:r w:rsidR="005426CC" w:rsidRPr="00106D3A">
        <w:rPr>
          <w:rFonts w:hint="cs"/>
          <w:sz w:val="24"/>
          <w:rtl/>
        </w:rPr>
        <w:t xml:space="preserve">בית המשפט העליון. </w:t>
      </w:r>
      <w:r w:rsidR="003F0281" w:rsidRPr="00106D3A">
        <w:rPr>
          <w:rFonts w:hint="cs"/>
          <w:sz w:val="24"/>
          <w:rtl/>
        </w:rPr>
        <w:t xml:space="preserve">די אם נחשוב על סוגיות כמו רמות הענישה בעבירות שונות, </w:t>
      </w:r>
      <w:r w:rsidR="0077717C" w:rsidRPr="00106D3A">
        <w:rPr>
          <w:rFonts w:hint="cs"/>
          <w:sz w:val="24"/>
          <w:rtl/>
        </w:rPr>
        <w:t xml:space="preserve">או </w:t>
      </w:r>
      <w:r w:rsidR="00E0197A" w:rsidRPr="00106D3A">
        <w:rPr>
          <w:rFonts w:hint="cs"/>
          <w:sz w:val="24"/>
          <w:rtl/>
        </w:rPr>
        <w:t xml:space="preserve">תכנה של עוולת הרשלנות בהקשריה המגוונים, כדי שנחוש </w:t>
      </w:r>
      <w:r w:rsidR="0005518E" w:rsidRPr="00106D3A">
        <w:rPr>
          <w:rFonts w:hint="cs"/>
          <w:sz w:val="24"/>
          <w:rtl/>
        </w:rPr>
        <w:t>עד כמה רווי הדין ב</w:t>
      </w:r>
      <w:r w:rsidR="00802506" w:rsidRPr="00106D3A">
        <w:rPr>
          <w:rFonts w:hint="cs"/>
          <w:sz w:val="24"/>
          <w:rtl/>
        </w:rPr>
        <w:t xml:space="preserve">אי-ודאות </w:t>
      </w:r>
      <w:r w:rsidR="0005518E" w:rsidRPr="00106D3A">
        <w:rPr>
          <w:rFonts w:hint="cs"/>
          <w:sz w:val="24"/>
          <w:rtl/>
        </w:rPr>
        <w:t xml:space="preserve">פרשנית. כל עוד הנושאים הללו מבוררים בערכאות הדיון, עלויות השיטה הביזורית חלות גם בהם, ועדיין מקובל לחשוב שאנו חיים במערכת משפטית מתפקדת יחסית, שמצליחה לאורך זמן </w:t>
      </w:r>
      <w:r w:rsidR="00404A7A" w:rsidRPr="00106D3A">
        <w:rPr>
          <w:rFonts w:hint="cs"/>
          <w:sz w:val="24"/>
          <w:rtl/>
        </w:rPr>
        <w:t xml:space="preserve">לספק הכוונה סבירה של התנהגות לנמעניה. </w:t>
      </w:r>
    </w:p>
    <w:p w:rsidR="00572037" w:rsidRPr="00106D3A" w:rsidRDefault="007E0B56" w:rsidP="00481416">
      <w:pPr>
        <w:ind w:firstLine="720"/>
        <w:jc w:val="both"/>
        <w:rPr>
          <w:sz w:val="24"/>
          <w:rtl/>
        </w:rPr>
      </w:pPr>
      <w:r w:rsidRPr="00106D3A">
        <w:rPr>
          <w:rFonts w:hint="cs"/>
          <w:sz w:val="24"/>
          <w:rtl/>
        </w:rPr>
        <w:lastRenderedPageBreak/>
        <w:t>תטען הביקורת עם זאת, שגם אם אי-ודאות כזו היא נסבלת במגוון תחומי המשפט, הרי שאין לה מקום בתחום החשוב כל כך של פרשנות חוקתית וביקורת שיפוטית.</w:t>
      </w:r>
      <w:r w:rsidR="008E48E6" w:rsidRPr="00106D3A">
        <w:rPr>
          <w:rStyle w:val="FootnoteReference"/>
          <w:sz w:val="24"/>
          <w:rtl/>
        </w:rPr>
        <w:footnoteReference w:id="106"/>
      </w:r>
      <w:r w:rsidRPr="00106D3A">
        <w:rPr>
          <w:rFonts w:hint="cs"/>
          <w:sz w:val="24"/>
          <w:rtl/>
        </w:rPr>
        <w:t xml:space="preserve"> </w:t>
      </w:r>
      <w:r w:rsidR="005C1A7D" w:rsidRPr="00106D3A">
        <w:rPr>
          <w:rFonts w:hint="cs"/>
          <w:sz w:val="24"/>
          <w:rtl/>
        </w:rPr>
        <w:t xml:space="preserve">איני </w:t>
      </w:r>
      <w:r w:rsidR="00481416">
        <w:rPr>
          <w:rFonts w:hint="cs"/>
          <w:sz w:val="24"/>
          <w:rtl/>
        </w:rPr>
        <w:t>משוכנע</w:t>
      </w:r>
      <w:r w:rsidR="005C1A7D" w:rsidRPr="00106D3A">
        <w:rPr>
          <w:rFonts w:hint="cs"/>
          <w:sz w:val="24"/>
          <w:rtl/>
        </w:rPr>
        <w:t xml:space="preserve"> </w:t>
      </w:r>
      <w:r w:rsidR="009B5F90" w:rsidRPr="00106D3A">
        <w:rPr>
          <w:rFonts w:hint="cs"/>
          <w:sz w:val="24"/>
          <w:rtl/>
        </w:rPr>
        <w:t>שביקורת</w:t>
      </w:r>
      <w:r w:rsidR="005C1A7D" w:rsidRPr="00106D3A">
        <w:rPr>
          <w:rFonts w:hint="cs"/>
          <w:sz w:val="24"/>
          <w:rtl/>
        </w:rPr>
        <w:t xml:space="preserve"> זו היא נכונה. בהקשרים רבים שאלות פרשניות ממעלה נורמטיבית נמוכה יותר עשויות להיות משמעותיות ל</w:t>
      </w:r>
      <w:r w:rsidR="00E420A8" w:rsidRPr="00106D3A">
        <w:rPr>
          <w:rFonts w:hint="cs"/>
          <w:sz w:val="24"/>
          <w:rtl/>
        </w:rPr>
        <w:t xml:space="preserve">החלטותיהם היומיומיות של </w:t>
      </w:r>
      <w:r w:rsidR="005C1A7D" w:rsidRPr="00106D3A">
        <w:rPr>
          <w:rFonts w:hint="cs"/>
          <w:sz w:val="24"/>
          <w:rtl/>
        </w:rPr>
        <w:t xml:space="preserve">אנשים רבים ולהקשרים </w:t>
      </w:r>
      <w:r w:rsidR="00D1474F" w:rsidRPr="00106D3A">
        <w:rPr>
          <w:rFonts w:hint="cs"/>
          <w:sz w:val="24"/>
          <w:rtl/>
        </w:rPr>
        <w:t xml:space="preserve">מעשיים </w:t>
      </w:r>
      <w:r w:rsidR="005C1A7D" w:rsidRPr="00106D3A">
        <w:rPr>
          <w:rFonts w:hint="cs"/>
          <w:sz w:val="24"/>
          <w:rtl/>
        </w:rPr>
        <w:t>כלכליים וחברתיים מגווני</w:t>
      </w:r>
      <w:r w:rsidR="00572037" w:rsidRPr="00106D3A">
        <w:rPr>
          <w:rFonts w:hint="cs"/>
          <w:sz w:val="24"/>
          <w:rtl/>
        </w:rPr>
        <w:t>ם יותר מאשר שאלות של תוקף חוקתי.</w:t>
      </w:r>
      <w:r w:rsidR="00481416">
        <w:rPr>
          <w:rFonts w:hint="cs"/>
          <w:sz w:val="24"/>
          <w:rtl/>
        </w:rPr>
        <w:t xml:space="preserve"> בפרט כך ביודענו שהמקרים בהם ייפסלו בפועל חוקים, גם בערכאות הדיון, אינם רבים, ובמובן זה מידת האי-ודאות שתיווצר כתוצאה מקיומה של הפרקטיקה מוגבלת. </w:t>
      </w:r>
    </w:p>
    <w:p w:rsidR="0031081B" w:rsidRPr="00106D3A" w:rsidRDefault="008B37A2" w:rsidP="00E26115">
      <w:pPr>
        <w:ind w:firstLine="720"/>
        <w:jc w:val="both"/>
        <w:rPr>
          <w:sz w:val="24"/>
          <w:rtl/>
        </w:rPr>
      </w:pPr>
      <w:r w:rsidRPr="00106D3A">
        <w:rPr>
          <w:rFonts w:hint="cs"/>
          <w:sz w:val="24"/>
          <w:rtl/>
        </w:rPr>
        <w:t xml:space="preserve">אך חשוב מכך: הטענה שהוצגה במאמר </w:t>
      </w:r>
      <w:r w:rsidR="00572037" w:rsidRPr="00106D3A">
        <w:rPr>
          <w:rFonts w:hint="cs"/>
          <w:sz w:val="24"/>
          <w:rtl/>
        </w:rPr>
        <w:t xml:space="preserve">התבססה על </w:t>
      </w:r>
      <w:r w:rsidRPr="00106D3A">
        <w:rPr>
          <w:rFonts w:hint="cs"/>
          <w:sz w:val="24"/>
          <w:rtl/>
        </w:rPr>
        <w:t xml:space="preserve">הצורך ביצירת תנאים מוסדיים שיכירו במחלוקות הקיימות בשאלות חוקתיות, יבטאו אותן, ויאפשרו להן להתנסח ולהתברר טרם שיוכרעו באופן תקדימי. </w:t>
      </w:r>
      <w:r w:rsidR="00F74A05" w:rsidRPr="00106D3A">
        <w:rPr>
          <w:rFonts w:hint="cs"/>
          <w:sz w:val="24"/>
          <w:rtl/>
        </w:rPr>
        <w:t xml:space="preserve">המשמעות </w:t>
      </w:r>
      <w:r w:rsidR="004675CB" w:rsidRPr="00106D3A">
        <w:rPr>
          <w:rFonts w:hint="cs"/>
          <w:sz w:val="24"/>
          <w:rtl/>
        </w:rPr>
        <w:t>היא ש</w:t>
      </w:r>
      <w:r w:rsidR="004675CB" w:rsidRPr="00106D3A">
        <w:rPr>
          <w:rFonts w:hint="cs"/>
          <w:b/>
          <w:bCs/>
          <w:sz w:val="24"/>
          <w:rtl/>
        </w:rPr>
        <w:t>דווקא</w:t>
      </w:r>
      <w:r w:rsidR="004675CB" w:rsidRPr="00106D3A">
        <w:rPr>
          <w:rFonts w:hint="cs"/>
          <w:sz w:val="24"/>
          <w:rtl/>
        </w:rPr>
        <w:t xml:space="preserve"> שאלות של פרשנות חוקתית הן שמתאימות </w:t>
      </w:r>
      <w:r w:rsidR="003037BD" w:rsidRPr="00106D3A">
        <w:rPr>
          <w:rFonts w:hint="cs"/>
          <w:sz w:val="24"/>
          <w:rtl/>
        </w:rPr>
        <w:t xml:space="preserve">לטיפול מבוזר </w:t>
      </w:r>
      <w:r w:rsidR="007D2A6E" w:rsidRPr="00106D3A">
        <w:rPr>
          <w:rFonts w:hint="cs"/>
          <w:sz w:val="24"/>
          <w:rtl/>
        </w:rPr>
        <w:t>ולשימור מכו</w:t>
      </w:r>
      <w:r w:rsidR="00782F44" w:rsidRPr="00106D3A">
        <w:rPr>
          <w:rFonts w:hint="cs"/>
          <w:sz w:val="24"/>
          <w:rtl/>
        </w:rPr>
        <w:t>ּ</w:t>
      </w:r>
      <w:r w:rsidR="007D2A6E" w:rsidRPr="00106D3A">
        <w:rPr>
          <w:rFonts w:hint="cs"/>
          <w:sz w:val="24"/>
          <w:rtl/>
        </w:rPr>
        <w:t>ון של רקמה נורמטיבית פתוחה</w:t>
      </w:r>
      <w:r w:rsidR="00390E67" w:rsidRPr="00106D3A">
        <w:rPr>
          <w:rFonts w:hint="cs"/>
          <w:sz w:val="24"/>
          <w:rtl/>
        </w:rPr>
        <w:t>.</w:t>
      </w:r>
      <w:r w:rsidR="007D2A6E" w:rsidRPr="00106D3A">
        <w:rPr>
          <w:rFonts w:hint="cs"/>
          <w:sz w:val="24"/>
          <w:rtl/>
        </w:rPr>
        <w:t xml:space="preserve"> </w:t>
      </w:r>
      <w:r w:rsidR="003037BD" w:rsidRPr="00106D3A">
        <w:rPr>
          <w:rFonts w:hint="cs"/>
          <w:sz w:val="24"/>
          <w:rtl/>
        </w:rPr>
        <w:t xml:space="preserve">בגלל שהן </w:t>
      </w:r>
      <w:r w:rsidR="00390E67" w:rsidRPr="00106D3A">
        <w:rPr>
          <w:rFonts w:hint="cs"/>
          <w:sz w:val="24"/>
          <w:rtl/>
        </w:rPr>
        <w:t>עוסקות בשורשי</w:t>
      </w:r>
      <w:r w:rsidR="003037BD" w:rsidRPr="00106D3A">
        <w:rPr>
          <w:rFonts w:hint="cs"/>
          <w:sz w:val="24"/>
          <w:rtl/>
        </w:rPr>
        <w:t xml:space="preserve"> הזהות הישראלית, </w:t>
      </w:r>
      <w:r w:rsidR="00390E67" w:rsidRPr="00106D3A">
        <w:rPr>
          <w:rFonts w:hint="cs"/>
          <w:sz w:val="24"/>
          <w:rtl/>
        </w:rPr>
        <w:t>ב</w:t>
      </w:r>
      <w:r w:rsidR="003037BD" w:rsidRPr="00106D3A">
        <w:rPr>
          <w:rFonts w:hint="cs"/>
          <w:sz w:val="24"/>
          <w:rtl/>
        </w:rPr>
        <w:t xml:space="preserve">ערכיה של מדינת ישראל, </w:t>
      </w:r>
      <w:r w:rsidR="00390E67" w:rsidRPr="00106D3A">
        <w:rPr>
          <w:rFonts w:hint="cs"/>
          <w:sz w:val="24"/>
          <w:rtl/>
        </w:rPr>
        <w:t>בא</w:t>
      </w:r>
      <w:r w:rsidR="003037BD" w:rsidRPr="00106D3A">
        <w:rPr>
          <w:rFonts w:hint="cs"/>
          <w:sz w:val="24"/>
          <w:rtl/>
        </w:rPr>
        <w:t>ופי המוסדות השלטוניים שלה ו</w:t>
      </w:r>
      <w:r w:rsidR="00390E67" w:rsidRPr="00106D3A">
        <w:rPr>
          <w:rFonts w:hint="cs"/>
          <w:sz w:val="24"/>
          <w:rtl/>
        </w:rPr>
        <w:t>ב</w:t>
      </w:r>
      <w:r w:rsidR="003037BD" w:rsidRPr="00106D3A">
        <w:rPr>
          <w:rFonts w:hint="cs"/>
          <w:sz w:val="24"/>
          <w:rtl/>
        </w:rPr>
        <w:t>מעמד הזכויות המוגנות בה</w:t>
      </w:r>
      <w:r w:rsidR="00213064" w:rsidRPr="00106D3A">
        <w:rPr>
          <w:rFonts w:hint="cs"/>
          <w:sz w:val="24"/>
          <w:rtl/>
        </w:rPr>
        <w:t xml:space="preserve">, רצוי ששאלות חוקתיות </w:t>
      </w:r>
      <w:r w:rsidR="00242887" w:rsidRPr="00106D3A">
        <w:rPr>
          <w:rFonts w:hint="cs"/>
          <w:sz w:val="24"/>
          <w:rtl/>
        </w:rPr>
        <w:t xml:space="preserve">כאלה </w:t>
      </w:r>
      <w:r w:rsidR="00213064" w:rsidRPr="00106D3A">
        <w:rPr>
          <w:rFonts w:hint="cs"/>
          <w:sz w:val="24"/>
          <w:rtl/>
        </w:rPr>
        <w:t xml:space="preserve">לא תוכרענה מהר מדי ומבלי שנשמעו בהן טיעונים רבים </w:t>
      </w:r>
      <w:r w:rsidR="00F74A05" w:rsidRPr="00106D3A">
        <w:rPr>
          <w:rFonts w:hint="cs"/>
          <w:sz w:val="24"/>
          <w:rtl/>
        </w:rPr>
        <w:t xml:space="preserve">מפיהם של בעלי עניין מגוונים, </w:t>
      </w:r>
      <w:r w:rsidR="00213064" w:rsidRPr="00106D3A">
        <w:rPr>
          <w:rFonts w:hint="cs"/>
          <w:sz w:val="24"/>
          <w:rtl/>
        </w:rPr>
        <w:t xml:space="preserve">ונעשו ניסיונות לפתרן בקנה-מידה קטן. </w:t>
      </w:r>
      <w:r w:rsidR="006360BE" w:rsidRPr="00106D3A">
        <w:rPr>
          <w:rFonts w:hint="cs"/>
          <w:sz w:val="24"/>
          <w:rtl/>
        </w:rPr>
        <w:t xml:space="preserve">ודאות היא עקרון חשוב בעיצוב המשפט, </w:t>
      </w:r>
      <w:r w:rsidR="0031081B" w:rsidRPr="00106D3A">
        <w:rPr>
          <w:rFonts w:hint="cs"/>
          <w:sz w:val="24"/>
          <w:rtl/>
        </w:rPr>
        <w:t>אך נראה שראוי שתיסוג מפני השאיפה לנורמות חוקתיות טובות ונכונות יותר, ול</w:t>
      </w:r>
      <w:r w:rsidR="00060C5E" w:rsidRPr="00106D3A">
        <w:rPr>
          <w:rFonts w:hint="cs"/>
          <w:sz w:val="24"/>
          <w:rtl/>
        </w:rPr>
        <w:t>גישת</w:t>
      </w:r>
      <w:r w:rsidR="0031081B" w:rsidRPr="00106D3A">
        <w:rPr>
          <w:rFonts w:hint="cs"/>
          <w:sz w:val="24"/>
          <w:rtl/>
        </w:rPr>
        <w:t xml:space="preserve"> מאמר זה גם דמוקרטיות יותר מבחינת הליך יצירתן. </w:t>
      </w:r>
      <w:r w:rsidR="00E26115" w:rsidRPr="00106D3A">
        <w:rPr>
          <w:rFonts w:hint="cs"/>
          <w:sz w:val="24"/>
          <w:rtl/>
        </w:rPr>
        <w:t xml:space="preserve">כמובן, השיטה הביזורית אינה שוללת ודאות בסופו של תהליך, אך היא מבקשת שלכל הפחות נורמות חוקתיות יהיו זכאיות לתהליך התדיינותי דומה לזה שמקבלות נורמות מרמה נמוכה יותר בערכאות הדיון השונות. </w:t>
      </w:r>
    </w:p>
    <w:p w:rsidR="00002D10" w:rsidRPr="00106D3A" w:rsidRDefault="00C826C3" w:rsidP="00360E2B">
      <w:pPr>
        <w:ind w:firstLine="720"/>
        <w:jc w:val="both"/>
        <w:rPr>
          <w:sz w:val="24"/>
          <w:rtl/>
        </w:rPr>
      </w:pPr>
      <w:r w:rsidRPr="00106D3A">
        <w:rPr>
          <w:rFonts w:hint="cs"/>
          <w:sz w:val="24"/>
          <w:rtl/>
        </w:rPr>
        <w:t xml:space="preserve">בנוסף, התפיסה לפיה יישוב מחלוקות חוקתיות ייתכן רק בהכרעה שיפוטית תקדימית גם היא אינה מדויקת. </w:t>
      </w:r>
      <w:r w:rsidR="00754846" w:rsidRPr="00106D3A">
        <w:rPr>
          <w:rFonts w:hint="cs"/>
          <w:sz w:val="24"/>
          <w:rtl/>
        </w:rPr>
        <w:t xml:space="preserve">אף שלביקורת השיפוטית, ובפרט זו המתבצעת בבית המשפט העליון, תפקיד מרכזי בשימור מעמדה של החוקה, הרי שגם רשויות אחרות יכולות </w:t>
      </w:r>
      <w:r w:rsidR="00A56E05" w:rsidRPr="00106D3A">
        <w:rPr>
          <w:rFonts w:hint="cs"/>
          <w:sz w:val="24"/>
          <w:rtl/>
        </w:rPr>
        <w:t xml:space="preserve">להביא ליישוב של שאלות חוקתיות עוד טרם שבית המשפט העליון פוסק בהן באופן סופי. </w:t>
      </w:r>
      <w:r w:rsidR="005A16E9" w:rsidRPr="00106D3A">
        <w:rPr>
          <w:rFonts w:hint="cs"/>
          <w:sz w:val="24"/>
          <w:rtl/>
        </w:rPr>
        <w:t xml:space="preserve">כך למשל, </w:t>
      </w:r>
      <w:r w:rsidR="007F39A7" w:rsidRPr="00106D3A">
        <w:rPr>
          <w:rFonts w:hint="cs"/>
          <w:sz w:val="24"/>
          <w:rtl/>
        </w:rPr>
        <w:t xml:space="preserve">תיקון חקיקתי שמטרתו הסרת פגם חוקתי בעקבות פסיקה שיפוטית </w:t>
      </w:r>
      <w:r w:rsidR="00347FD8" w:rsidRPr="00106D3A">
        <w:rPr>
          <w:sz w:val="24"/>
          <w:rtl/>
        </w:rPr>
        <w:t>–</w:t>
      </w:r>
      <w:r w:rsidR="007F39A7" w:rsidRPr="00106D3A">
        <w:rPr>
          <w:rFonts w:hint="cs"/>
          <w:sz w:val="24"/>
          <w:rtl/>
        </w:rPr>
        <w:t xml:space="preserve"> פרקטיקה שקיימת כיום בישראל</w:t>
      </w:r>
      <w:r w:rsidR="007F39A7" w:rsidRPr="00106D3A">
        <w:rPr>
          <w:rStyle w:val="FootnoteReference"/>
          <w:sz w:val="24"/>
          <w:rtl/>
        </w:rPr>
        <w:footnoteReference w:id="107"/>
      </w:r>
      <w:r w:rsidR="007F39A7" w:rsidRPr="00106D3A">
        <w:rPr>
          <w:rFonts w:hint="cs"/>
          <w:sz w:val="24"/>
          <w:rtl/>
        </w:rPr>
        <w:t xml:space="preserve"> </w:t>
      </w:r>
      <w:r w:rsidR="007F39A7" w:rsidRPr="00106D3A">
        <w:rPr>
          <w:sz w:val="24"/>
          <w:rtl/>
        </w:rPr>
        <w:t>–</w:t>
      </w:r>
      <w:r w:rsidR="007F39A7" w:rsidRPr="00106D3A">
        <w:rPr>
          <w:rFonts w:hint="cs"/>
          <w:sz w:val="24"/>
          <w:rtl/>
        </w:rPr>
        <w:t xml:space="preserve"> </w:t>
      </w:r>
      <w:r w:rsidR="00347FD8" w:rsidRPr="00106D3A">
        <w:rPr>
          <w:rFonts w:hint="cs"/>
          <w:sz w:val="24"/>
          <w:rtl/>
        </w:rPr>
        <w:t xml:space="preserve">יכול להתבצע בעקבות </w:t>
      </w:r>
      <w:r w:rsidR="005A16E9" w:rsidRPr="00106D3A">
        <w:rPr>
          <w:rFonts w:hint="cs"/>
          <w:sz w:val="24"/>
          <w:rtl/>
        </w:rPr>
        <w:t xml:space="preserve">פסק דין של ערכאה נמוכה, </w:t>
      </w:r>
      <w:r w:rsidR="00347FD8" w:rsidRPr="00106D3A">
        <w:rPr>
          <w:rFonts w:hint="cs"/>
          <w:sz w:val="24"/>
          <w:rtl/>
        </w:rPr>
        <w:t>ואינו חייב להמתין להכרעה של בית המשפט העליון. א</w:t>
      </w:r>
      <w:r w:rsidR="00471D33" w:rsidRPr="00106D3A">
        <w:rPr>
          <w:rFonts w:hint="cs"/>
          <w:sz w:val="24"/>
          <w:rtl/>
        </w:rPr>
        <w:t xml:space="preserve">ין בכך פחיתות כבוד למחוקק; למעשה כפי שכבר צוין, יש בכך דווקא צמצום של האפקט האנטי-רובני שבביקורת השיפוטית, מכיוון </w:t>
      </w:r>
      <w:r w:rsidR="001A5278" w:rsidRPr="00106D3A">
        <w:rPr>
          <w:rFonts w:hint="cs"/>
          <w:sz w:val="24"/>
          <w:rtl/>
        </w:rPr>
        <w:t xml:space="preserve">שהנעת המחוקק לפעול </w:t>
      </w:r>
      <w:r w:rsidR="00347FD8" w:rsidRPr="00106D3A">
        <w:rPr>
          <w:rFonts w:hint="cs"/>
          <w:sz w:val="24"/>
          <w:rtl/>
        </w:rPr>
        <w:t xml:space="preserve">נעשית </w:t>
      </w:r>
      <w:r w:rsidR="001A5278" w:rsidRPr="00106D3A">
        <w:rPr>
          <w:rFonts w:hint="cs"/>
          <w:sz w:val="24"/>
          <w:rtl/>
        </w:rPr>
        <w:t xml:space="preserve">בהחלטה בעלת תחולה מצומצמת ומבלי לאיין באופן מלא החקיקה הפגומה. </w:t>
      </w:r>
    </w:p>
    <w:p w:rsidR="00C826C3" w:rsidRPr="00106D3A" w:rsidRDefault="00AA3622" w:rsidP="005B49F6">
      <w:pPr>
        <w:ind w:firstLine="720"/>
        <w:jc w:val="both"/>
        <w:rPr>
          <w:sz w:val="24"/>
          <w:rtl/>
        </w:rPr>
      </w:pPr>
      <w:r w:rsidRPr="00106D3A">
        <w:rPr>
          <w:rFonts w:hint="cs"/>
          <w:sz w:val="24"/>
          <w:rtl/>
        </w:rPr>
        <w:t xml:space="preserve">בדומה, הרשות המבצעת יכולה גם היא להביא </w:t>
      </w:r>
      <w:r w:rsidR="00F75DD1" w:rsidRPr="00106D3A">
        <w:rPr>
          <w:rFonts w:hint="cs"/>
          <w:sz w:val="24"/>
          <w:rtl/>
        </w:rPr>
        <w:t>להסרת</w:t>
      </w:r>
      <w:r w:rsidRPr="00106D3A">
        <w:rPr>
          <w:rFonts w:hint="cs"/>
          <w:sz w:val="24"/>
          <w:rtl/>
        </w:rPr>
        <w:t xml:space="preserve"> </w:t>
      </w:r>
      <w:r w:rsidR="008923FE" w:rsidRPr="00106D3A">
        <w:rPr>
          <w:rFonts w:hint="cs"/>
          <w:sz w:val="24"/>
          <w:rtl/>
        </w:rPr>
        <w:t>קושי חוקתי</w:t>
      </w:r>
      <w:r w:rsidRPr="00106D3A">
        <w:rPr>
          <w:rFonts w:hint="cs"/>
          <w:sz w:val="24"/>
          <w:rtl/>
        </w:rPr>
        <w:t xml:space="preserve"> </w:t>
      </w:r>
      <w:r w:rsidR="004235FA" w:rsidRPr="00106D3A">
        <w:rPr>
          <w:rFonts w:hint="cs"/>
          <w:sz w:val="24"/>
          <w:rtl/>
        </w:rPr>
        <w:t xml:space="preserve">בפרשנות שנתנה לדבר חקיקה, </w:t>
      </w:r>
      <w:r w:rsidRPr="00106D3A">
        <w:rPr>
          <w:rFonts w:hint="cs"/>
          <w:sz w:val="24"/>
          <w:rtl/>
        </w:rPr>
        <w:t xml:space="preserve">אם </w:t>
      </w:r>
      <w:r w:rsidR="008923FE" w:rsidRPr="00106D3A">
        <w:rPr>
          <w:rFonts w:hint="cs"/>
          <w:sz w:val="24"/>
          <w:rtl/>
        </w:rPr>
        <w:t xml:space="preserve">היא </w:t>
      </w:r>
      <w:r w:rsidRPr="00106D3A">
        <w:rPr>
          <w:rFonts w:hint="cs"/>
          <w:sz w:val="24"/>
          <w:rtl/>
        </w:rPr>
        <w:t xml:space="preserve">נחשפת </w:t>
      </w:r>
      <w:r w:rsidR="00CB1450" w:rsidRPr="00106D3A">
        <w:rPr>
          <w:rFonts w:hint="cs"/>
          <w:sz w:val="24"/>
          <w:rtl/>
        </w:rPr>
        <w:t xml:space="preserve">אליו </w:t>
      </w:r>
      <w:r w:rsidRPr="00106D3A">
        <w:rPr>
          <w:rFonts w:hint="cs"/>
          <w:sz w:val="24"/>
          <w:rtl/>
        </w:rPr>
        <w:t>בפסיקותיהן של ערכאות הדיון</w:t>
      </w:r>
      <w:r w:rsidR="00EC176A" w:rsidRPr="00106D3A">
        <w:rPr>
          <w:rFonts w:hint="cs"/>
          <w:sz w:val="24"/>
          <w:rtl/>
        </w:rPr>
        <w:t xml:space="preserve">. </w:t>
      </w:r>
      <w:r w:rsidR="005E1C13" w:rsidRPr="00106D3A">
        <w:rPr>
          <w:rFonts w:hint="cs"/>
          <w:sz w:val="24"/>
          <w:rtl/>
        </w:rPr>
        <w:t xml:space="preserve">הרשות יכולה לסגת מפרשנותה ולאמץ פירוש אחר שפותר את הקושי החוקתי, ובדרך זו לחסוך את הצורך בטיפוס </w:t>
      </w:r>
      <w:r w:rsidR="00DE2936" w:rsidRPr="00106D3A">
        <w:rPr>
          <w:rFonts w:hint="cs"/>
          <w:sz w:val="24"/>
          <w:rtl/>
        </w:rPr>
        <w:t xml:space="preserve">עד לבית המשפט העליון. </w:t>
      </w:r>
      <w:r w:rsidR="000B411A" w:rsidRPr="00106D3A">
        <w:rPr>
          <w:rFonts w:hint="cs"/>
          <w:sz w:val="24"/>
          <w:rtl/>
        </w:rPr>
        <w:t xml:space="preserve">הפסיקה החוקתית של ערכאות הדיון משמשת בהקשר </w:t>
      </w:r>
      <w:r w:rsidR="00CA5010" w:rsidRPr="00106D3A">
        <w:rPr>
          <w:rFonts w:hint="cs"/>
          <w:sz w:val="24"/>
          <w:rtl/>
        </w:rPr>
        <w:t xml:space="preserve">זה </w:t>
      </w:r>
      <w:r w:rsidR="00C63580" w:rsidRPr="00106D3A">
        <w:rPr>
          <w:rFonts w:hint="cs"/>
          <w:sz w:val="24"/>
          <w:rtl/>
        </w:rPr>
        <w:t>כ</w:t>
      </w:r>
      <w:r w:rsidR="002D64BD" w:rsidRPr="00106D3A">
        <w:rPr>
          <w:rFonts w:hint="cs"/>
          <w:sz w:val="24"/>
          <w:rtl/>
        </w:rPr>
        <w:t xml:space="preserve">עין </w:t>
      </w:r>
      <w:r w:rsidR="00CA5010" w:rsidRPr="00106D3A">
        <w:rPr>
          <w:rFonts w:hint="cs"/>
          <w:sz w:val="24"/>
          <w:rtl/>
        </w:rPr>
        <w:t xml:space="preserve">מנגנון ייעוץ לרשויות האחרות באשר </w:t>
      </w:r>
      <w:r w:rsidR="00FD3630" w:rsidRPr="00106D3A">
        <w:rPr>
          <w:rFonts w:hint="cs"/>
          <w:sz w:val="24"/>
          <w:rtl/>
        </w:rPr>
        <w:t xml:space="preserve">לחוקתיות של החלטותיהן. </w:t>
      </w:r>
      <w:r w:rsidR="007A7220" w:rsidRPr="00106D3A">
        <w:rPr>
          <w:rFonts w:hint="cs"/>
          <w:sz w:val="24"/>
          <w:rtl/>
        </w:rPr>
        <w:t xml:space="preserve">הן רשאיות כמובן להוביל את המחלוקת כל הדרך עד לפסיקה סופית בבית המשפט העליון, אך </w:t>
      </w:r>
      <w:r w:rsidR="000B7D38" w:rsidRPr="00106D3A">
        <w:rPr>
          <w:rFonts w:hint="cs"/>
          <w:sz w:val="24"/>
          <w:rtl/>
        </w:rPr>
        <w:t xml:space="preserve">ביכולתן גם להסתפק במסרים מן השלבים הראשונים של הליטיגציה כדי לשנות את עמדתן </w:t>
      </w:r>
      <w:r w:rsidR="00BD4E1F" w:rsidRPr="00106D3A">
        <w:rPr>
          <w:rFonts w:hint="cs"/>
          <w:sz w:val="24"/>
          <w:rtl/>
        </w:rPr>
        <w:t xml:space="preserve">ולהסיר את הקושי החוקתי </w:t>
      </w:r>
      <w:r w:rsidR="000B7D38" w:rsidRPr="00106D3A">
        <w:rPr>
          <w:rFonts w:hint="cs"/>
          <w:sz w:val="24"/>
          <w:rtl/>
        </w:rPr>
        <w:t xml:space="preserve">כבר אז. </w:t>
      </w:r>
      <w:r w:rsidR="00BD4E1F" w:rsidRPr="00106D3A">
        <w:rPr>
          <w:rFonts w:hint="cs"/>
          <w:sz w:val="24"/>
          <w:rtl/>
        </w:rPr>
        <w:t xml:space="preserve">כאשר </w:t>
      </w:r>
      <w:r w:rsidR="00360E2B" w:rsidRPr="00106D3A">
        <w:rPr>
          <w:rFonts w:hint="cs"/>
          <w:sz w:val="24"/>
          <w:rtl/>
        </w:rPr>
        <w:t xml:space="preserve">הן עושות כך, בעיית הוודאות נפתרת </w:t>
      </w:r>
      <w:r w:rsidR="00002D10" w:rsidRPr="00106D3A">
        <w:rPr>
          <w:rFonts w:hint="cs"/>
          <w:sz w:val="24"/>
          <w:rtl/>
        </w:rPr>
        <w:t xml:space="preserve">מבלי שיהיה צורך להמתין </w:t>
      </w:r>
      <w:r w:rsidR="001A5884" w:rsidRPr="00106D3A">
        <w:rPr>
          <w:rFonts w:hint="cs"/>
          <w:sz w:val="24"/>
          <w:rtl/>
        </w:rPr>
        <w:t>להגעת העניין לבית המשפט העליון.</w:t>
      </w:r>
      <w:r w:rsidR="00BE000D" w:rsidRPr="00106D3A">
        <w:rPr>
          <w:rFonts w:hint="cs"/>
          <w:sz w:val="24"/>
          <w:rtl/>
        </w:rPr>
        <w:t xml:space="preserve"> אגב, עידוד פרקטיקה </w:t>
      </w:r>
      <w:r w:rsidR="00631479" w:rsidRPr="00106D3A">
        <w:rPr>
          <w:rFonts w:hint="cs"/>
          <w:sz w:val="24"/>
          <w:rtl/>
        </w:rPr>
        <w:t xml:space="preserve">כזו </w:t>
      </w:r>
      <w:r w:rsidR="002E4C06" w:rsidRPr="00106D3A">
        <w:rPr>
          <w:rFonts w:hint="cs"/>
          <w:sz w:val="24"/>
          <w:rtl/>
        </w:rPr>
        <w:t xml:space="preserve">אצל הרשויות האחרות </w:t>
      </w:r>
      <w:r w:rsidR="00BE000D" w:rsidRPr="00106D3A">
        <w:rPr>
          <w:rFonts w:hint="cs"/>
          <w:sz w:val="24"/>
          <w:rtl/>
        </w:rPr>
        <w:t xml:space="preserve">מהווה טעם נוסף לכך שחשוב להסמיך </w:t>
      </w:r>
      <w:r w:rsidR="00D12BA2" w:rsidRPr="00106D3A">
        <w:rPr>
          <w:rFonts w:hint="cs"/>
          <w:sz w:val="24"/>
          <w:rtl/>
        </w:rPr>
        <w:t xml:space="preserve">ולעודד </w:t>
      </w:r>
      <w:r w:rsidR="00BE000D" w:rsidRPr="00106D3A">
        <w:rPr>
          <w:rFonts w:hint="cs"/>
          <w:sz w:val="24"/>
          <w:rtl/>
        </w:rPr>
        <w:t xml:space="preserve">את ערכאות הדיון לבטל חקיקה בפועל, ולא רק להצביע על קשיים חוקתיים </w:t>
      </w:r>
      <w:r w:rsidR="00631479" w:rsidRPr="00106D3A">
        <w:rPr>
          <w:rFonts w:hint="cs"/>
          <w:sz w:val="24"/>
          <w:rtl/>
        </w:rPr>
        <w:t>מבלי להורות על הסרת</w:t>
      </w:r>
      <w:r w:rsidR="00C63580" w:rsidRPr="00106D3A">
        <w:rPr>
          <w:rFonts w:hint="cs"/>
          <w:sz w:val="24"/>
          <w:rtl/>
        </w:rPr>
        <w:t>ם</w:t>
      </w:r>
      <w:r w:rsidR="00EC5712" w:rsidRPr="00106D3A">
        <w:rPr>
          <w:rFonts w:hint="cs"/>
          <w:sz w:val="24"/>
          <w:rtl/>
        </w:rPr>
        <w:t xml:space="preserve">: ביטול החוק בפועל מטיל על הרשות נטל מיוחד של התמודדות עם הקושי החוקתי, שאינו קיים בהכרח </w:t>
      </w:r>
      <w:r w:rsidR="00AB26ED" w:rsidRPr="00106D3A">
        <w:rPr>
          <w:rFonts w:hint="cs"/>
          <w:sz w:val="24"/>
          <w:rtl/>
        </w:rPr>
        <w:t>במקרה של סעד רך יותר</w:t>
      </w:r>
      <w:r w:rsidR="00C63580" w:rsidRPr="00106D3A">
        <w:rPr>
          <w:rFonts w:hint="cs"/>
          <w:sz w:val="24"/>
          <w:rtl/>
        </w:rPr>
        <w:t xml:space="preserve">. </w:t>
      </w:r>
    </w:p>
    <w:p w:rsidR="00704AC6" w:rsidRPr="00106D3A" w:rsidRDefault="00704AC6" w:rsidP="00EC5712">
      <w:pPr>
        <w:ind w:firstLine="720"/>
        <w:jc w:val="both"/>
        <w:rPr>
          <w:sz w:val="24"/>
          <w:rtl/>
        </w:rPr>
      </w:pPr>
    </w:p>
    <w:p w:rsidR="006B4800" w:rsidRPr="00106D3A" w:rsidRDefault="006B4800" w:rsidP="00D374A3">
      <w:pPr>
        <w:pStyle w:val="Heading2"/>
      </w:pPr>
      <w:bookmarkStart w:id="41" w:name="_Toc372223063"/>
      <w:r w:rsidRPr="00106D3A">
        <w:rPr>
          <w:rFonts w:hint="cs"/>
          <w:rtl/>
        </w:rPr>
        <w:lastRenderedPageBreak/>
        <w:t>שוויון</w:t>
      </w:r>
      <w:bookmarkEnd w:id="41"/>
    </w:p>
    <w:p w:rsidR="00704AC6" w:rsidRPr="00106D3A" w:rsidRDefault="008E4265" w:rsidP="007436CA">
      <w:pPr>
        <w:ind w:firstLine="720"/>
        <w:jc w:val="both"/>
        <w:rPr>
          <w:sz w:val="24"/>
          <w:rtl/>
        </w:rPr>
      </w:pPr>
      <w:r w:rsidRPr="00106D3A">
        <w:rPr>
          <w:rFonts w:hint="cs"/>
          <w:sz w:val="24"/>
          <w:rtl/>
        </w:rPr>
        <w:t xml:space="preserve">טענה קרובה לטענת הוודאות מעוררת את הקושי שבקיומן של תוצאות חוקתיות </w:t>
      </w:r>
      <w:r w:rsidR="00E7174B" w:rsidRPr="00106D3A">
        <w:rPr>
          <w:rFonts w:hint="cs"/>
          <w:sz w:val="24"/>
          <w:rtl/>
        </w:rPr>
        <w:t xml:space="preserve">שונות </w:t>
      </w:r>
      <w:r w:rsidRPr="00106D3A">
        <w:rPr>
          <w:rFonts w:hint="cs"/>
          <w:sz w:val="24"/>
          <w:rtl/>
        </w:rPr>
        <w:t xml:space="preserve">לאנשים </w:t>
      </w:r>
      <w:r w:rsidR="00E7174B" w:rsidRPr="00106D3A">
        <w:rPr>
          <w:rFonts w:hint="cs"/>
          <w:sz w:val="24"/>
          <w:rtl/>
        </w:rPr>
        <w:t xml:space="preserve">דומים </w:t>
      </w:r>
      <w:r w:rsidRPr="00106D3A">
        <w:rPr>
          <w:rFonts w:hint="cs"/>
          <w:sz w:val="24"/>
          <w:rtl/>
        </w:rPr>
        <w:t xml:space="preserve">מבחינה משפטית. </w:t>
      </w:r>
      <w:r w:rsidR="00B41E15" w:rsidRPr="00106D3A">
        <w:rPr>
          <w:rFonts w:hint="cs"/>
          <w:sz w:val="24"/>
          <w:rtl/>
        </w:rPr>
        <w:t>מצב זה מתאפשר מפני שבשיטה הביזורית ייתכן שאותו חוק ממש יימצא כ</w:t>
      </w:r>
      <w:r w:rsidR="00C36024" w:rsidRPr="00106D3A">
        <w:rPr>
          <w:rFonts w:hint="cs"/>
          <w:sz w:val="24"/>
          <w:rtl/>
        </w:rPr>
        <w:t xml:space="preserve">לא-חוקתי </w:t>
      </w:r>
      <w:r w:rsidR="00036743" w:rsidRPr="00106D3A">
        <w:rPr>
          <w:rFonts w:hint="cs"/>
          <w:sz w:val="24"/>
          <w:rtl/>
        </w:rPr>
        <w:t>ו</w:t>
      </w:r>
      <w:r w:rsidR="00B41E15" w:rsidRPr="00106D3A">
        <w:rPr>
          <w:rFonts w:hint="cs"/>
          <w:sz w:val="24"/>
          <w:rtl/>
        </w:rPr>
        <w:t>בטל על</w:t>
      </w:r>
      <w:r w:rsidR="0000107E" w:rsidRPr="00106D3A">
        <w:rPr>
          <w:rFonts w:hint="cs"/>
          <w:sz w:val="24"/>
          <w:rtl/>
        </w:rPr>
        <w:t xml:space="preserve"> </w:t>
      </w:r>
      <w:r w:rsidR="00B41E15" w:rsidRPr="00106D3A">
        <w:rPr>
          <w:rFonts w:hint="cs"/>
          <w:sz w:val="24"/>
          <w:rtl/>
        </w:rPr>
        <w:t xml:space="preserve">ידי בית משפט אחד, וכחוקתי ותקף על ידי בית משפט אחר. </w:t>
      </w:r>
      <w:r w:rsidR="00ED2ABE" w:rsidRPr="00106D3A">
        <w:rPr>
          <w:rFonts w:hint="cs"/>
          <w:sz w:val="24"/>
          <w:rtl/>
        </w:rPr>
        <w:t xml:space="preserve">זו תופעה מתבקשת משום שהניתוח החוקתי עשיר בשאלות ערכיות ובאיזונים עדינים </w:t>
      </w:r>
      <w:r w:rsidR="00ED2ABE" w:rsidRPr="00106D3A">
        <w:rPr>
          <w:sz w:val="24"/>
          <w:rtl/>
        </w:rPr>
        <w:t>–</w:t>
      </w:r>
      <w:r w:rsidR="00ED2ABE" w:rsidRPr="00106D3A">
        <w:rPr>
          <w:rFonts w:hint="cs"/>
          <w:sz w:val="24"/>
          <w:rtl/>
        </w:rPr>
        <w:t xml:space="preserve"> במקרה של פסקות ההגבלה</w:t>
      </w:r>
      <w:r w:rsidR="00220A1D" w:rsidRPr="00106D3A">
        <w:rPr>
          <w:rFonts w:hint="cs"/>
          <w:sz w:val="24"/>
          <w:rtl/>
        </w:rPr>
        <w:t xml:space="preserve"> בחוקי-היסוד בדבר זכויות האדם</w:t>
      </w:r>
      <w:r w:rsidR="00ED2ABE" w:rsidRPr="00106D3A">
        <w:rPr>
          <w:rFonts w:hint="cs"/>
          <w:sz w:val="24"/>
          <w:rtl/>
        </w:rPr>
        <w:t xml:space="preserve">, מדובר בפירוש מושגים כמו "ערכיה של מדינת ישראל", "תכלית ראויה" ומידתיות. </w:t>
      </w:r>
      <w:r w:rsidR="00722C3E" w:rsidRPr="00106D3A">
        <w:rPr>
          <w:rFonts w:hint="cs"/>
          <w:sz w:val="24"/>
          <w:rtl/>
        </w:rPr>
        <w:t>שופטים סבירים עשויים להגיע בתום לב למסקנות סותרות</w:t>
      </w:r>
      <w:r w:rsidR="0071579D" w:rsidRPr="00106D3A">
        <w:rPr>
          <w:rFonts w:hint="cs"/>
          <w:sz w:val="24"/>
          <w:rtl/>
        </w:rPr>
        <w:t xml:space="preserve"> ביישום המושגים הללו</w:t>
      </w:r>
      <w:r w:rsidR="00E0677B" w:rsidRPr="00106D3A">
        <w:rPr>
          <w:rFonts w:hint="cs"/>
          <w:sz w:val="24"/>
          <w:rtl/>
        </w:rPr>
        <w:t xml:space="preserve"> (גם שופטי בג"ץ עצמם </w:t>
      </w:r>
      <w:r w:rsidR="007436CA" w:rsidRPr="00106D3A">
        <w:rPr>
          <w:rFonts w:hint="cs"/>
          <w:sz w:val="24"/>
          <w:rtl/>
        </w:rPr>
        <w:t>נחלקים</w:t>
      </w:r>
      <w:r w:rsidR="00E0677B" w:rsidRPr="00106D3A">
        <w:rPr>
          <w:rFonts w:hint="cs"/>
          <w:sz w:val="24"/>
          <w:rtl/>
        </w:rPr>
        <w:t xml:space="preserve"> לעתים בעתירות חוקתיות)</w:t>
      </w:r>
      <w:r w:rsidR="00722C3E" w:rsidRPr="00106D3A">
        <w:rPr>
          <w:rFonts w:hint="cs"/>
          <w:sz w:val="24"/>
          <w:rtl/>
        </w:rPr>
        <w:t xml:space="preserve">, וכך </w:t>
      </w:r>
      <w:r w:rsidR="0071579D" w:rsidRPr="00106D3A">
        <w:rPr>
          <w:rFonts w:hint="cs"/>
          <w:sz w:val="24"/>
          <w:rtl/>
        </w:rPr>
        <w:t xml:space="preserve">להביא למצב בו בעלי דין שהם זהים לעניין החוק המדובר מקבלים יחס שונה </w:t>
      </w:r>
      <w:r w:rsidR="00905051" w:rsidRPr="00106D3A">
        <w:rPr>
          <w:sz w:val="24"/>
          <w:rtl/>
        </w:rPr>
        <w:t>–</w:t>
      </w:r>
      <w:r w:rsidR="00905051" w:rsidRPr="00106D3A">
        <w:rPr>
          <w:rFonts w:hint="cs"/>
          <w:sz w:val="24"/>
          <w:rtl/>
        </w:rPr>
        <w:t xml:space="preserve"> כלומר, תיווצר </w:t>
      </w:r>
      <w:r w:rsidR="002D149F" w:rsidRPr="00106D3A">
        <w:rPr>
          <w:rFonts w:hint="cs"/>
          <w:sz w:val="24"/>
          <w:rtl/>
        </w:rPr>
        <w:t xml:space="preserve">ביניהם </w:t>
      </w:r>
      <w:r w:rsidR="00905051" w:rsidRPr="00106D3A">
        <w:rPr>
          <w:rFonts w:hint="cs"/>
          <w:sz w:val="24"/>
          <w:rtl/>
        </w:rPr>
        <w:t xml:space="preserve">הפליה. </w:t>
      </w:r>
    </w:p>
    <w:p w:rsidR="00E0677B" w:rsidRPr="00106D3A" w:rsidRDefault="00E0677B" w:rsidP="00A85ECE">
      <w:pPr>
        <w:ind w:firstLine="720"/>
        <w:jc w:val="both"/>
        <w:rPr>
          <w:sz w:val="24"/>
          <w:rtl/>
        </w:rPr>
      </w:pPr>
      <w:r w:rsidRPr="00106D3A">
        <w:rPr>
          <w:rFonts w:hint="cs"/>
          <w:sz w:val="24"/>
          <w:rtl/>
        </w:rPr>
        <w:t>גם כאן התשובה הפשוטה תזכיר שזהו המצב למעשה בכל תחום במשפט שמ</w:t>
      </w:r>
      <w:r w:rsidR="00DF485A" w:rsidRPr="00106D3A">
        <w:rPr>
          <w:rFonts w:hint="cs"/>
          <w:sz w:val="24"/>
          <w:rtl/>
        </w:rPr>
        <w:t xml:space="preserve">טופל מראשיתו על ידי ערכאות דיון. הנתון המוסדי של ביזור מערכת המשפט מניח מידה מסוימת של יחס לא שוויוני. השיטה מקבלת מצב זה מטעמים פרגמטיים </w:t>
      </w:r>
      <w:r w:rsidR="00DF485A" w:rsidRPr="00106D3A">
        <w:rPr>
          <w:sz w:val="24"/>
          <w:rtl/>
        </w:rPr>
        <w:t>–</w:t>
      </w:r>
      <w:r w:rsidR="00DF485A" w:rsidRPr="00106D3A">
        <w:rPr>
          <w:rFonts w:hint="cs"/>
          <w:sz w:val="24"/>
          <w:rtl/>
        </w:rPr>
        <w:t xml:space="preserve"> בהינתן גודל מסוים של אוכלוסיה וכמות מסוימת של תיקים, אין ברירה אלא להפקיד את סמכות השפיטה בידי שופטים </w:t>
      </w:r>
      <w:r w:rsidR="00D9128F" w:rsidRPr="00106D3A">
        <w:rPr>
          <w:rFonts w:hint="cs"/>
          <w:sz w:val="24"/>
          <w:rtl/>
        </w:rPr>
        <w:t xml:space="preserve">רבים </w:t>
      </w:r>
      <w:r w:rsidR="00DF485A" w:rsidRPr="00106D3A">
        <w:rPr>
          <w:rFonts w:hint="cs"/>
          <w:sz w:val="24"/>
          <w:rtl/>
        </w:rPr>
        <w:t>ובתי משפט</w:t>
      </w:r>
      <w:r w:rsidR="00D9128F" w:rsidRPr="00106D3A">
        <w:rPr>
          <w:rFonts w:hint="cs"/>
          <w:sz w:val="24"/>
          <w:rtl/>
        </w:rPr>
        <w:t xml:space="preserve"> נפרדים</w:t>
      </w:r>
      <w:r w:rsidR="00DF485A" w:rsidRPr="00106D3A">
        <w:rPr>
          <w:rFonts w:hint="cs"/>
          <w:sz w:val="24"/>
          <w:rtl/>
        </w:rPr>
        <w:t xml:space="preserve">. </w:t>
      </w:r>
      <w:r w:rsidR="00711C75" w:rsidRPr="00106D3A">
        <w:rPr>
          <w:rFonts w:hint="cs"/>
          <w:sz w:val="24"/>
          <w:rtl/>
        </w:rPr>
        <w:t xml:space="preserve">הדבר מביא לפיצול בתוצאות השפיטה, ובהנחה שניתוב התיקים לשופטים שונים בבית משפט נתון הוא אקראי, </w:t>
      </w:r>
      <w:r w:rsidR="00BE30EF" w:rsidRPr="00106D3A">
        <w:rPr>
          <w:rFonts w:hint="cs"/>
          <w:sz w:val="24"/>
          <w:rtl/>
        </w:rPr>
        <w:t xml:space="preserve">המשמעות היא לכאורה שהמזל ולא הדין </w:t>
      </w:r>
      <w:r w:rsidR="00AD6D36" w:rsidRPr="00106D3A">
        <w:rPr>
          <w:rFonts w:hint="cs"/>
          <w:sz w:val="24"/>
          <w:rtl/>
        </w:rPr>
        <w:t>הוא שקובע</w:t>
      </w:r>
      <w:r w:rsidR="00BE30EF" w:rsidRPr="00106D3A">
        <w:rPr>
          <w:rFonts w:hint="cs"/>
          <w:sz w:val="24"/>
          <w:rtl/>
        </w:rPr>
        <w:t xml:space="preserve"> את תוצאת המשפט.</w:t>
      </w:r>
      <w:r w:rsidR="008E2235" w:rsidRPr="00106D3A">
        <w:rPr>
          <w:rStyle w:val="FootnoteReference"/>
          <w:sz w:val="24"/>
          <w:rtl/>
        </w:rPr>
        <w:footnoteReference w:id="108"/>
      </w:r>
      <w:r w:rsidR="00BE30EF" w:rsidRPr="00106D3A">
        <w:rPr>
          <w:rFonts w:hint="cs"/>
          <w:sz w:val="24"/>
          <w:rtl/>
        </w:rPr>
        <w:t xml:space="preserve"> </w:t>
      </w:r>
      <w:r w:rsidR="005A5ED5" w:rsidRPr="00106D3A">
        <w:rPr>
          <w:rFonts w:hint="cs"/>
          <w:sz w:val="24"/>
          <w:rtl/>
        </w:rPr>
        <w:t>מענה מסוים של שיטת המשפ</w:t>
      </w:r>
      <w:r w:rsidR="008F5ABC" w:rsidRPr="00106D3A">
        <w:rPr>
          <w:rFonts w:hint="cs"/>
          <w:sz w:val="24"/>
          <w:rtl/>
        </w:rPr>
        <w:t>ט לחשש זה מצוי ב</w:t>
      </w:r>
      <w:r w:rsidR="00A85ECE" w:rsidRPr="00106D3A">
        <w:rPr>
          <w:rFonts w:hint="cs"/>
          <w:sz w:val="24"/>
          <w:rtl/>
        </w:rPr>
        <w:t>מוסדות הערעור ו</w:t>
      </w:r>
      <w:r w:rsidR="008F5ABC" w:rsidRPr="00106D3A">
        <w:rPr>
          <w:rFonts w:hint="cs"/>
          <w:sz w:val="24"/>
          <w:rtl/>
        </w:rPr>
        <w:t>התקדים</w:t>
      </w:r>
      <w:r w:rsidR="005A5ED5" w:rsidRPr="00106D3A">
        <w:rPr>
          <w:rFonts w:hint="cs"/>
          <w:sz w:val="24"/>
          <w:rtl/>
        </w:rPr>
        <w:t xml:space="preserve">, </w:t>
      </w:r>
      <w:r w:rsidR="005C6BD0" w:rsidRPr="00106D3A">
        <w:rPr>
          <w:rFonts w:hint="cs"/>
          <w:sz w:val="24"/>
          <w:rtl/>
        </w:rPr>
        <w:t xml:space="preserve">המבטיחים </w:t>
      </w:r>
      <w:r w:rsidR="005A5ED5" w:rsidRPr="00106D3A">
        <w:rPr>
          <w:rFonts w:hint="cs"/>
          <w:sz w:val="24"/>
          <w:rtl/>
        </w:rPr>
        <w:t xml:space="preserve">שלפחות לאורך זמן </w:t>
      </w:r>
      <w:r w:rsidR="00FE4C8F" w:rsidRPr="00106D3A">
        <w:rPr>
          <w:rFonts w:hint="cs"/>
          <w:sz w:val="24"/>
          <w:rtl/>
        </w:rPr>
        <w:t xml:space="preserve">האי-שוויון יצומצם והפערים בין </w:t>
      </w:r>
      <w:r w:rsidR="00B30B8B" w:rsidRPr="00106D3A">
        <w:rPr>
          <w:rFonts w:hint="cs"/>
          <w:sz w:val="24"/>
          <w:rtl/>
        </w:rPr>
        <w:t>השופטים השונים ו</w:t>
      </w:r>
      <w:r w:rsidR="00FE4C8F" w:rsidRPr="00106D3A">
        <w:rPr>
          <w:rFonts w:hint="cs"/>
          <w:sz w:val="24"/>
          <w:rtl/>
        </w:rPr>
        <w:t xml:space="preserve">בתי המשפט השונים </w:t>
      </w:r>
      <w:r w:rsidR="008F5ABC" w:rsidRPr="00106D3A">
        <w:rPr>
          <w:rFonts w:hint="cs"/>
          <w:sz w:val="24"/>
          <w:rtl/>
        </w:rPr>
        <w:t>ייעלמו</w:t>
      </w:r>
      <w:r w:rsidR="005C6BD0" w:rsidRPr="00106D3A">
        <w:rPr>
          <w:rFonts w:hint="cs"/>
          <w:sz w:val="24"/>
          <w:rtl/>
        </w:rPr>
        <w:t xml:space="preserve">. </w:t>
      </w:r>
      <w:r w:rsidR="00334899" w:rsidRPr="00106D3A">
        <w:rPr>
          <w:rFonts w:hint="cs"/>
          <w:sz w:val="24"/>
          <w:rtl/>
        </w:rPr>
        <w:t xml:space="preserve">מענה זה חל כמובן גם בהקשר של הביקורת השיפוטית הביזורית. </w:t>
      </w:r>
    </w:p>
    <w:p w:rsidR="008A4C9C" w:rsidRPr="00106D3A" w:rsidRDefault="008A4C9C" w:rsidP="00FC04F2">
      <w:pPr>
        <w:ind w:firstLine="720"/>
        <w:jc w:val="both"/>
        <w:rPr>
          <w:sz w:val="24"/>
          <w:rtl/>
        </w:rPr>
      </w:pPr>
      <w:r w:rsidRPr="00106D3A">
        <w:rPr>
          <w:rFonts w:hint="cs"/>
          <w:sz w:val="24"/>
          <w:rtl/>
        </w:rPr>
        <w:t xml:space="preserve">אך גם בהקשר השוויון אני מבקש </w:t>
      </w:r>
      <w:r w:rsidR="00113694" w:rsidRPr="00106D3A">
        <w:rPr>
          <w:rFonts w:hint="cs"/>
          <w:sz w:val="24"/>
          <w:rtl/>
        </w:rPr>
        <w:t xml:space="preserve">להדגיש דווקא את חשיבות השוני בתוצאות השיפוטיות למודל הדמוקרטי של ההליך החוקתי. </w:t>
      </w:r>
      <w:r w:rsidR="00845ADF" w:rsidRPr="00106D3A">
        <w:rPr>
          <w:rFonts w:hint="cs"/>
          <w:sz w:val="24"/>
          <w:rtl/>
        </w:rPr>
        <w:t xml:space="preserve">ההבדלים בשפיטה החוקתית בין הערכאות המבוזרות נתפסים בראייה הדמוקרטית </w:t>
      </w:r>
      <w:r w:rsidR="00616BDB" w:rsidRPr="00106D3A">
        <w:rPr>
          <w:rFonts w:hint="cs"/>
          <w:sz w:val="24"/>
          <w:rtl/>
        </w:rPr>
        <w:t>כמקור חיוני לחשיפת קשיים, מחלוקות, עמדות ופתרונות בשאלה</w:t>
      </w:r>
      <w:r w:rsidR="00645692" w:rsidRPr="00106D3A">
        <w:rPr>
          <w:rFonts w:hint="cs"/>
          <w:sz w:val="24"/>
          <w:rtl/>
        </w:rPr>
        <w:t xml:space="preserve"> שעל הפרק</w:t>
      </w:r>
      <w:r w:rsidR="00616BDB" w:rsidRPr="00106D3A">
        <w:rPr>
          <w:rFonts w:hint="cs"/>
          <w:sz w:val="24"/>
          <w:rtl/>
        </w:rPr>
        <w:t xml:space="preserve">. </w:t>
      </w:r>
      <w:r w:rsidR="00DA43AA" w:rsidRPr="00106D3A">
        <w:rPr>
          <w:rFonts w:hint="cs"/>
          <w:sz w:val="24"/>
          <w:rtl/>
        </w:rPr>
        <w:t xml:space="preserve">זהו "מחיר" שראוי לשלם </w:t>
      </w:r>
      <w:r w:rsidR="00336AB4" w:rsidRPr="00106D3A">
        <w:rPr>
          <w:rFonts w:hint="cs"/>
          <w:sz w:val="24"/>
          <w:rtl/>
        </w:rPr>
        <w:t>כדי למצות את הפוטנציאל הדמוקרטי מן השפיטה החוקתית</w:t>
      </w:r>
      <w:r w:rsidR="00F94C38" w:rsidRPr="00106D3A">
        <w:rPr>
          <w:rFonts w:hint="cs"/>
          <w:sz w:val="24"/>
          <w:rtl/>
        </w:rPr>
        <w:t xml:space="preserve">, משום שבלעדיו לא תתפתח </w:t>
      </w:r>
      <w:proofErr w:type="spellStart"/>
      <w:r w:rsidR="00F94C38" w:rsidRPr="00106D3A">
        <w:rPr>
          <w:rFonts w:hint="cs"/>
          <w:sz w:val="24"/>
          <w:rtl/>
        </w:rPr>
        <w:t>דינמיקה</w:t>
      </w:r>
      <w:proofErr w:type="spellEnd"/>
      <w:r w:rsidR="00F94C38" w:rsidRPr="00106D3A">
        <w:rPr>
          <w:rFonts w:hint="cs"/>
          <w:sz w:val="24"/>
          <w:rtl/>
        </w:rPr>
        <w:t xml:space="preserve"> </w:t>
      </w:r>
      <w:proofErr w:type="spellStart"/>
      <w:r w:rsidR="00F94C38" w:rsidRPr="00106D3A">
        <w:rPr>
          <w:rFonts w:hint="cs"/>
          <w:sz w:val="24"/>
          <w:rtl/>
        </w:rPr>
        <w:t>התדיינותית</w:t>
      </w:r>
      <w:proofErr w:type="spellEnd"/>
      <w:r w:rsidR="00F94C38" w:rsidRPr="00106D3A">
        <w:rPr>
          <w:rFonts w:hint="cs"/>
          <w:sz w:val="24"/>
          <w:rtl/>
        </w:rPr>
        <w:t xml:space="preserve">, </w:t>
      </w:r>
      <w:r w:rsidR="0060760C" w:rsidRPr="00106D3A">
        <w:rPr>
          <w:rFonts w:hint="cs"/>
          <w:sz w:val="24"/>
          <w:rtl/>
        </w:rPr>
        <w:t xml:space="preserve">לא יתרחש תהליך של ביקורת ולמידה, ולא ימומש האידיאל הפלורליסטי. </w:t>
      </w:r>
      <w:r w:rsidR="00D21AF2" w:rsidRPr="00106D3A">
        <w:rPr>
          <w:rFonts w:hint="cs"/>
          <w:sz w:val="24"/>
          <w:rtl/>
        </w:rPr>
        <w:t xml:space="preserve">את </w:t>
      </w:r>
      <w:r w:rsidR="00FC04F2" w:rsidRPr="00106D3A">
        <w:rPr>
          <w:rFonts w:hint="cs"/>
          <w:sz w:val="24"/>
          <w:rtl/>
        </w:rPr>
        <w:t xml:space="preserve">ציפייתו </w:t>
      </w:r>
      <w:r w:rsidR="00D21AF2" w:rsidRPr="00106D3A">
        <w:rPr>
          <w:rFonts w:hint="cs"/>
          <w:sz w:val="24"/>
          <w:rtl/>
        </w:rPr>
        <w:t xml:space="preserve">של הפרט המתדיין להגינות בהליך יש </w:t>
      </w:r>
      <w:r w:rsidR="00FC04F2" w:rsidRPr="00106D3A">
        <w:rPr>
          <w:rFonts w:hint="cs"/>
          <w:sz w:val="24"/>
          <w:rtl/>
        </w:rPr>
        <w:t xml:space="preserve">לממש </w:t>
      </w:r>
      <w:r w:rsidR="00D21AF2" w:rsidRPr="00106D3A">
        <w:rPr>
          <w:rFonts w:hint="cs"/>
          <w:sz w:val="24"/>
          <w:rtl/>
        </w:rPr>
        <w:t xml:space="preserve">אפוא באמצעות הבטחת הגינותם של התנאים הדיוניים עצמם </w:t>
      </w:r>
      <w:r w:rsidR="00481F33" w:rsidRPr="00106D3A">
        <w:rPr>
          <w:sz w:val="24"/>
          <w:rtl/>
        </w:rPr>
        <w:t>–</w:t>
      </w:r>
      <w:r w:rsidR="00D21AF2" w:rsidRPr="00106D3A">
        <w:rPr>
          <w:rFonts w:hint="cs"/>
          <w:sz w:val="24"/>
          <w:rtl/>
        </w:rPr>
        <w:t xml:space="preserve"> </w:t>
      </w:r>
      <w:r w:rsidR="00481F33" w:rsidRPr="00106D3A">
        <w:rPr>
          <w:rFonts w:hint="cs"/>
          <w:sz w:val="24"/>
          <w:rtl/>
        </w:rPr>
        <w:t xml:space="preserve">שימור זכות הגישה לערכאות, זכות הטיעון, החשיפה לראיות, היכולת לחקור עדים ולערער על אמינותם, </w:t>
      </w:r>
      <w:r w:rsidR="00FC04F2" w:rsidRPr="00106D3A">
        <w:rPr>
          <w:rFonts w:hint="cs"/>
          <w:sz w:val="24"/>
          <w:rtl/>
        </w:rPr>
        <w:t xml:space="preserve">שופט נטול פניות המנמק החלטותיו </w:t>
      </w:r>
      <w:r w:rsidR="00481F33" w:rsidRPr="00106D3A">
        <w:rPr>
          <w:rFonts w:hint="cs"/>
          <w:sz w:val="24"/>
          <w:rtl/>
        </w:rPr>
        <w:t xml:space="preserve">וכן הלאה. </w:t>
      </w:r>
      <w:r w:rsidR="00FC04F2" w:rsidRPr="00106D3A">
        <w:rPr>
          <w:rFonts w:hint="cs"/>
          <w:sz w:val="24"/>
          <w:rtl/>
        </w:rPr>
        <w:t xml:space="preserve">אם כל מתדיין מקבל את מלוא הזכויות הדיוניות הללו, הרי שמתקיים שוויון </w:t>
      </w:r>
      <w:r w:rsidR="009D4DE5" w:rsidRPr="00106D3A">
        <w:rPr>
          <w:rFonts w:hint="cs"/>
          <w:sz w:val="24"/>
          <w:rtl/>
        </w:rPr>
        <w:t xml:space="preserve">(אקס </w:t>
      </w:r>
      <w:proofErr w:type="spellStart"/>
      <w:r w:rsidR="009D4DE5" w:rsidRPr="00106D3A">
        <w:rPr>
          <w:rFonts w:hint="cs"/>
          <w:sz w:val="24"/>
          <w:rtl/>
        </w:rPr>
        <w:t>אנטה</w:t>
      </w:r>
      <w:proofErr w:type="spellEnd"/>
      <w:r w:rsidR="009D4DE5" w:rsidRPr="00106D3A">
        <w:rPr>
          <w:rFonts w:hint="cs"/>
          <w:sz w:val="24"/>
          <w:rtl/>
        </w:rPr>
        <w:t xml:space="preserve">) </w:t>
      </w:r>
      <w:r w:rsidR="00FC04F2" w:rsidRPr="00106D3A">
        <w:rPr>
          <w:rFonts w:hint="cs"/>
          <w:sz w:val="24"/>
          <w:rtl/>
        </w:rPr>
        <w:t>בין מתדיינים, גם אם התוצאות של משפטיהם שונות</w:t>
      </w:r>
      <w:r w:rsidR="009D4DE5" w:rsidRPr="00106D3A">
        <w:rPr>
          <w:rFonts w:hint="cs"/>
          <w:sz w:val="24"/>
          <w:rtl/>
        </w:rPr>
        <w:t xml:space="preserve"> (אקס פוסט)</w:t>
      </w:r>
      <w:r w:rsidR="00FC04F2" w:rsidRPr="00106D3A">
        <w:rPr>
          <w:rFonts w:hint="cs"/>
          <w:sz w:val="24"/>
          <w:rtl/>
        </w:rPr>
        <w:t>.</w:t>
      </w:r>
      <w:r w:rsidR="00584C5B">
        <w:rPr>
          <w:rStyle w:val="FootnoteReference"/>
          <w:sz w:val="24"/>
          <w:rtl/>
        </w:rPr>
        <w:footnoteReference w:id="109"/>
      </w:r>
      <w:r w:rsidR="00FC04F2" w:rsidRPr="00106D3A">
        <w:rPr>
          <w:rFonts w:hint="cs"/>
          <w:sz w:val="24"/>
          <w:rtl/>
        </w:rPr>
        <w:t xml:space="preserve"> </w:t>
      </w:r>
    </w:p>
    <w:p w:rsidR="00C01698" w:rsidRPr="00106D3A" w:rsidRDefault="00C01698" w:rsidP="005C6BD0">
      <w:pPr>
        <w:ind w:firstLine="720"/>
        <w:jc w:val="both"/>
        <w:rPr>
          <w:sz w:val="24"/>
        </w:rPr>
      </w:pPr>
    </w:p>
    <w:p w:rsidR="00621FF2" w:rsidRPr="00106D3A" w:rsidRDefault="00621FF2" w:rsidP="00D374A3">
      <w:pPr>
        <w:pStyle w:val="Heading2"/>
      </w:pPr>
      <w:bookmarkStart w:id="42" w:name="_Toc372223064"/>
      <w:r w:rsidRPr="00106D3A">
        <w:rPr>
          <w:rFonts w:hint="cs"/>
          <w:rtl/>
        </w:rPr>
        <w:t>יעילות</w:t>
      </w:r>
      <w:bookmarkEnd w:id="42"/>
    </w:p>
    <w:p w:rsidR="0098791C" w:rsidRPr="00106D3A" w:rsidRDefault="00856868" w:rsidP="00D62DF3">
      <w:pPr>
        <w:ind w:firstLine="720"/>
        <w:jc w:val="both"/>
        <w:rPr>
          <w:sz w:val="24"/>
          <w:rtl/>
        </w:rPr>
      </w:pPr>
      <w:r w:rsidRPr="00106D3A">
        <w:rPr>
          <w:rFonts w:hint="cs"/>
          <w:sz w:val="24"/>
          <w:rtl/>
        </w:rPr>
        <w:t xml:space="preserve">טיעון נפוץ בזכות המודל הריכוזי הנו </w:t>
      </w:r>
      <w:proofErr w:type="spellStart"/>
      <w:r w:rsidRPr="00106D3A">
        <w:rPr>
          <w:rFonts w:hint="cs"/>
          <w:sz w:val="24"/>
          <w:rtl/>
        </w:rPr>
        <w:t>החסכון</w:t>
      </w:r>
      <w:proofErr w:type="spellEnd"/>
      <w:r w:rsidRPr="00106D3A">
        <w:rPr>
          <w:rFonts w:hint="cs"/>
          <w:sz w:val="24"/>
          <w:rtl/>
        </w:rPr>
        <w:t xml:space="preserve"> שהוא מבטיח במשאבי התדיינות. במקום ניהול </w:t>
      </w:r>
      <w:proofErr w:type="spellStart"/>
      <w:r w:rsidRPr="00106D3A">
        <w:rPr>
          <w:rFonts w:hint="cs"/>
          <w:sz w:val="24"/>
          <w:rtl/>
        </w:rPr>
        <w:t>ליטיגציות</w:t>
      </w:r>
      <w:proofErr w:type="spellEnd"/>
      <w:r w:rsidRPr="00106D3A">
        <w:rPr>
          <w:rFonts w:hint="cs"/>
          <w:sz w:val="24"/>
          <w:rtl/>
        </w:rPr>
        <w:t xml:space="preserve"> רבות בערכאות הדיון השונות עד שהשאלה החוקתית תוכרע לבסוף </w:t>
      </w:r>
      <w:r w:rsidR="0051356E" w:rsidRPr="00106D3A">
        <w:rPr>
          <w:rFonts w:hint="cs"/>
          <w:sz w:val="24"/>
          <w:rtl/>
        </w:rPr>
        <w:t xml:space="preserve">בבית המשפט העליון לכשיגיע אליו ערעור מתאים, השיטה הריכוזית מאפשרת הבאה מיידית של השאלה לבית המשפט </w:t>
      </w:r>
      <w:r w:rsidR="00742392" w:rsidRPr="00106D3A">
        <w:rPr>
          <w:rFonts w:hint="cs"/>
          <w:sz w:val="24"/>
          <w:rtl/>
        </w:rPr>
        <w:t xml:space="preserve">הגבוה. </w:t>
      </w:r>
      <w:r w:rsidR="00E11D7B" w:rsidRPr="00106D3A">
        <w:rPr>
          <w:rFonts w:hint="cs"/>
          <w:sz w:val="24"/>
          <w:rtl/>
        </w:rPr>
        <w:t xml:space="preserve">כך נחסכים כל </w:t>
      </w:r>
      <w:r w:rsidR="00D62DF3" w:rsidRPr="00106D3A">
        <w:rPr>
          <w:rFonts w:hint="cs"/>
          <w:sz w:val="24"/>
          <w:rtl/>
        </w:rPr>
        <w:t xml:space="preserve">המשאבים הנדרשים להעלאת טענות חוקתיות </w:t>
      </w:r>
      <w:r w:rsidR="008879BC" w:rsidRPr="00106D3A">
        <w:rPr>
          <w:rFonts w:hint="cs"/>
          <w:sz w:val="24"/>
          <w:rtl/>
        </w:rPr>
        <w:t xml:space="preserve">חוזרות </w:t>
      </w:r>
      <w:r w:rsidR="00D62DF3" w:rsidRPr="00106D3A">
        <w:rPr>
          <w:rFonts w:hint="cs"/>
          <w:sz w:val="24"/>
          <w:rtl/>
        </w:rPr>
        <w:t xml:space="preserve">בערכאות הדיון, </w:t>
      </w:r>
      <w:r w:rsidR="00787BC9" w:rsidRPr="00106D3A">
        <w:rPr>
          <w:rFonts w:hint="cs"/>
          <w:sz w:val="24"/>
          <w:rtl/>
        </w:rPr>
        <w:t xml:space="preserve">לטיעון ביחס אליהן, </w:t>
      </w:r>
      <w:r w:rsidR="00D62DF3" w:rsidRPr="00106D3A">
        <w:rPr>
          <w:rFonts w:hint="cs"/>
          <w:sz w:val="24"/>
          <w:rtl/>
        </w:rPr>
        <w:t>להכרעה בהן</w:t>
      </w:r>
      <w:r w:rsidR="00DF71FB" w:rsidRPr="00106D3A">
        <w:rPr>
          <w:rFonts w:hint="cs"/>
          <w:sz w:val="24"/>
          <w:rtl/>
        </w:rPr>
        <w:t>, ולערעור עליהן</w:t>
      </w:r>
      <w:r w:rsidR="00D62DF3" w:rsidRPr="00106D3A">
        <w:rPr>
          <w:rFonts w:hint="cs"/>
          <w:sz w:val="24"/>
          <w:rtl/>
        </w:rPr>
        <w:t xml:space="preserve">. </w:t>
      </w:r>
    </w:p>
    <w:p w:rsidR="00C26725" w:rsidRPr="00106D3A" w:rsidRDefault="007E12AD" w:rsidP="001D126A">
      <w:pPr>
        <w:ind w:firstLine="720"/>
        <w:jc w:val="both"/>
        <w:rPr>
          <w:sz w:val="24"/>
          <w:rtl/>
        </w:rPr>
      </w:pPr>
      <w:r w:rsidRPr="00106D3A">
        <w:rPr>
          <w:rFonts w:hint="cs"/>
          <w:sz w:val="24"/>
          <w:rtl/>
        </w:rPr>
        <w:t xml:space="preserve">טיעון היעילות הזה משכנע בעיקר </w:t>
      </w:r>
      <w:r w:rsidR="00E421A8">
        <w:rPr>
          <w:rFonts w:hint="cs"/>
          <w:sz w:val="24"/>
          <w:rtl/>
        </w:rPr>
        <w:t>על רקע</w:t>
      </w:r>
      <w:r w:rsidRPr="00106D3A">
        <w:rPr>
          <w:rFonts w:hint="cs"/>
          <w:sz w:val="24"/>
          <w:rtl/>
        </w:rPr>
        <w:t xml:space="preserve"> המודל </w:t>
      </w:r>
      <w:proofErr w:type="spellStart"/>
      <w:r w:rsidRPr="00106D3A">
        <w:rPr>
          <w:rFonts w:hint="cs"/>
          <w:sz w:val="24"/>
          <w:rtl/>
        </w:rPr>
        <w:t>הבג"צי</w:t>
      </w:r>
      <w:proofErr w:type="spellEnd"/>
      <w:r w:rsidRPr="00106D3A">
        <w:rPr>
          <w:rFonts w:hint="cs"/>
          <w:sz w:val="24"/>
          <w:rtl/>
        </w:rPr>
        <w:t xml:space="preserve"> הקיים כיום בישראל, בו העניינים החוקתיים מובאים ישירות לבית המשפט העליון על ידי העותרים עצמם. לא ברור שהוא משכנע באותה מידה ביחס למודלים הריכוזיים הקלאסיים </w:t>
      </w:r>
      <w:r w:rsidRPr="00106D3A">
        <w:rPr>
          <w:sz w:val="24"/>
          <w:rtl/>
        </w:rPr>
        <w:t>–</w:t>
      </w:r>
      <w:r w:rsidRPr="00106D3A">
        <w:rPr>
          <w:rFonts w:hint="cs"/>
          <w:sz w:val="24"/>
          <w:rtl/>
        </w:rPr>
        <w:t xml:space="preserve"> אותם מבקשות רוב ההצעות </w:t>
      </w:r>
      <w:r w:rsidRPr="00106D3A">
        <w:rPr>
          <w:rFonts w:hint="cs"/>
          <w:sz w:val="24"/>
          <w:rtl/>
        </w:rPr>
        <w:lastRenderedPageBreak/>
        <w:t xml:space="preserve">הנוכחיות </w:t>
      </w:r>
      <w:r w:rsidR="001D126A">
        <w:rPr>
          <w:rFonts w:hint="cs"/>
          <w:sz w:val="24"/>
          <w:rtl/>
        </w:rPr>
        <w:t>לחקות</w:t>
      </w:r>
      <w:r w:rsidRPr="00106D3A">
        <w:rPr>
          <w:rFonts w:hint="cs"/>
          <w:sz w:val="24"/>
          <w:rtl/>
        </w:rPr>
        <w:t xml:space="preserve"> </w:t>
      </w:r>
      <w:r w:rsidRPr="00106D3A">
        <w:rPr>
          <w:sz w:val="24"/>
          <w:rtl/>
        </w:rPr>
        <w:t>–</w:t>
      </w:r>
      <w:r w:rsidRPr="00106D3A">
        <w:rPr>
          <w:rFonts w:hint="cs"/>
          <w:sz w:val="24"/>
          <w:rtl/>
        </w:rPr>
        <w:t xml:space="preserve"> המורים לערכאת דיון שמתעוררת בה שאלה חוקתית להקפיא את ההליך, להפנות את הנושא לפורום הריכוזי, ולהמתין להכרעתו העקרונית טרם פסיקה בתיק המסוים. מובן שהליך כזה כרוך בעיכוב הדיון בערכאה הנמוכה, ועלויותיו של עיכוב </w:t>
      </w:r>
      <w:r w:rsidR="00974152" w:rsidRPr="00106D3A">
        <w:rPr>
          <w:rFonts w:hint="cs"/>
          <w:sz w:val="24"/>
          <w:rtl/>
        </w:rPr>
        <w:t>כ</w:t>
      </w:r>
      <w:r w:rsidRPr="00106D3A">
        <w:rPr>
          <w:rFonts w:hint="cs"/>
          <w:sz w:val="24"/>
          <w:rtl/>
        </w:rPr>
        <w:t xml:space="preserve">זה בצדו. </w:t>
      </w:r>
    </w:p>
    <w:p w:rsidR="00D6458F" w:rsidRPr="00106D3A" w:rsidRDefault="00C26725" w:rsidP="0088129A">
      <w:pPr>
        <w:ind w:firstLine="720"/>
        <w:jc w:val="both"/>
        <w:rPr>
          <w:sz w:val="24"/>
          <w:rtl/>
        </w:rPr>
      </w:pPr>
      <w:r w:rsidRPr="00106D3A">
        <w:rPr>
          <w:rFonts w:hint="cs"/>
          <w:sz w:val="24"/>
          <w:rtl/>
        </w:rPr>
        <w:t xml:space="preserve">עדיין, מרגע שפוסקת הערכאה הריכוזית בשאלה החוקתית העקרונית, הדבר אמור למנוע התדיינויות נוספות בערכאות הדיון על אותה שאלה ובכך לחסוך משאבים מסוימים לבעלי הדין ולמערכת המשפט. אלא </w:t>
      </w:r>
      <w:r w:rsidR="00A37F36" w:rsidRPr="00106D3A">
        <w:rPr>
          <w:rFonts w:hint="cs"/>
          <w:sz w:val="24"/>
          <w:rtl/>
        </w:rPr>
        <w:t xml:space="preserve">שתובנה זו חלה על כל תחום במשפט, וככל שהתשובות שהוצעו לעיל להבחנה בין התחום החוקתי לתחומי המשפט החוקתי עומדות, לא ברור מדוע </w:t>
      </w:r>
      <w:r w:rsidR="00EC0C4E" w:rsidRPr="00106D3A">
        <w:rPr>
          <w:rFonts w:hint="cs"/>
          <w:sz w:val="24"/>
          <w:rtl/>
        </w:rPr>
        <w:t xml:space="preserve">היעילות מצדיקה ייחוד התחום החוקתי דווקא לבית המשפט העליון, ולא תחומים אחרים </w:t>
      </w:r>
      <w:r w:rsidR="00ED7FCB" w:rsidRPr="00106D3A">
        <w:rPr>
          <w:rFonts w:hint="cs"/>
          <w:sz w:val="24"/>
          <w:rtl/>
        </w:rPr>
        <w:t xml:space="preserve">שהשפעתם על הוודאות בדין </w:t>
      </w:r>
      <w:r w:rsidRPr="00106D3A">
        <w:rPr>
          <w:rFonts w:hint="cs"/>
          <w:sz w:val="24"/>
          <w:rtl/>
        </w:rPr>
        <w:t xml:space="preserve">ועל עלויות ההתדיינות </w:t>
      </w:r>
      <w:r w:rsidR="00ED7FCB" w:rsidRPr="00106D3A">
        <w:rPr>
          <w:rFonts w:hint="cs"/>
          <w:sz w:val="24"/>
          <w:rtl/>
        </w:rPr>
        <w:t>גדולה</w:t>
      </w:r>
      <w:r w:rsidR="00F52964" w:rsidRPr="00106D3A">
        <w:rPr>
          <w:rFonts w:hint="cs"/>
          <w:sz w:val="24"/>
          <w:rtl/>
        </w:rPr>
        <w:t xml:space="preserve"> גם כן</w:t>
      </w:r>
      <w:r w:rsidR="00707BF0" w:rsidRPr="00106D3A">
        <w:rPr>
          <w:rFonts w:hint="cs"/>
          <w:sz w:val="24"/>
          <w:rtl/>
        </w:rPr>
        <w:t xml:space="preserve">, אך שהערך הדמוקרטי שבקיום התדיינות ציבורית אודותיהם </w:t>
      </w:r>
      <w:r w:rsidR="00853BE2" w:rsidRPr="00106D3A">
        <w:rPr>
          <w:rFonts w:hint="cs"/>
          <w:sz w:val="24"/>
          <w:rtl/>
        </w:rPr>
        <w:t xml:space="preserve">הוא </w:t>
      </w:r>
      <w:r w:rsidR="00707BF0" w:rsidRPr="00106D3A">
        <w:rPr>
          <w:rFonts w:hint="cs"/>
          <w:sz w:val="24"/>
          <w:rtl/>
        </w:rPr>
        <w:t>אולי</w:t>
      </w:r>
      <w:r w:rsidR="00F52964" w:rsidRPr="00106D3A">
        <w:rPr>
          <w:rFonts w:hint="cs"/>
          <w:sz w:val="24"/>
          <w:rtl/>
        </w:rPr>
        <w:t xml:space="preserve"> </w:t>
      </w:r>
      <w:r w:rsidR="00853BE2" w:rsidRPr="00106D3A">
        <w:rPr>
          <w:rFonts w:hint="cs"/>
          <w:sz w:val="24"/>
          <w:rtl/>
        </w:rPr>
        <w:t>פחוּת</w:t>
      </w:r>
      <w:r w:rsidR="00ED7FCB" w:rsidRPr="00106D3A">
        <w:rPr>
          <w:rFonts w:hint="cs"/>
          <w:sz w:val="24"/>
          <w:rtl/>
        </w:rPr>
        <w:t>.</w:t>
      </w:r>
      <w:r w:rsidR="00FC7B55" w:rsidRPr="00106D3A">
        <w:rPr>
          <w:rFonts w:hint="cs"/>
          <w:sz w:val="24"/>
          <w:rtl/>
        </w:rPr>
        <w:t xml:space="preserve"> </w:t>
      </w:r>
      <w:r w:rsidR="00733972">
        <w:rPr>
          <w:rFonts w:hint="cs"/>
          <w:sz w:val="24"/>
          <w:rtl/>
        </w:rPr>
        <w:t xml:space="preserve">ככלל, </w:t>
      </w:r>
      <w:r w:rsidR="00FC7B55" w:rsidRPr="00106D3A">
        <w:rPr>
          <w:rFonts w:hint="cs"/>
          <w:sz w:val="24"/>
          <w:rtl/>
        </w:rPr>
        <w:t xml:space="preserve">"יעילות" היא </w:t>
      </w:r>
      <w:r w:rsidR="00A044F7" w:rsidRPr="00106D3A">
        <w:rPr>
          <w:rFonts w:hint="cs"/>
          <w:sz w:val="24"/>
          <w:rtl/>
        </w:rPr>
        <w:t>קריטריון חמקמק</w:t>
      </w:r>
      <w:r w:rsidR="00FC7B55" w:rsidRPr="00106D3A">
        <w:rPr>
          <w:rFonts w:hint="cs"/>
          <w:sz w:val="24"/>
          <w:rtl/>
        </w:rPr>
        <w:t xml:space="preserve"> בהקשר זה</w:t>
      </w:r>
      <w:r w:rsidR="006B573C" w:rsidRPr="00106D3A">
        <w:rPr>
          <w:rFonts w:hint="cs"/>
          <w:sz w:val="24"/>
          <w:rtl/>
        </w:rPr>
        <w:t>,</w:t>
      </w:r>
      <w:r w:rsidR="00B130E5" w:rsidRPr="00106D3A">
        <w:rPr>
          <w:rFonts w:hint="cs"/>
          <w:sz w:val="24"/>
          <w:rtl/>
        </w:rPr>
        <w:t xml:space="preserve"> שכן </w:t>
      </w:r>
      <w:r w:rsidR="006B573C" w:rsidRPr="00106D3A">
        <w:rPr>
          <w:rFonts w:hint="cs"/>
          <w:sz w:val="24"/>
          <w:rtl/>
        </w:rPr>
        <w:t xml:space="preserve">מול </w:t>
      </w:r>
      <w:r w:rsidR="00B130E5" w:rsidRPr="00106D3A">
        <w:rPr>
          <w:rFonts w:hint="cs"/>
          <w:sz w:val="24"/>
          <w:rtl/>
        </w:rPr>
        <w:t>העלות הנוספת עלינו להעריך את התועלת החברתית שתיצמח מאימוץ המודל הביזורי</w:t>
      </w:r>
      <w:r w:rsidR="0083348C">
        <w:rPr>
          <w:rFonts w:hint="cs"/>
          <w:sz w:val="24"/>
          <w:rtl/>
        </w:rPr>
        <w:t>, ובכלל זה את היתרון שב</w:t>
      </w:r>
      <w:r w:rsidR="0083348C" w:rsidRPr="00641EF1">
        <w:rPr>
          <w:rFonts w:hint="cs"/>
          <w:b/>
          <w:bCs/>
          <w:sz w:val="24"/>
          <w:rtl/>
        </w:rPr>
        <w:t>האטה</w:t>
      </w:r>
      <w:r w:rsidR="0083348C">
        <w:rPr>
          <w:rFonts w:hint="cs"/>
          <w:sz w:val="24"/>
          <w:rtl/>
        </w:rPr>
        <w:t xml:space="preserve"> מסוימת בקצב הבירור של מחלוקות חוקתיות, כך שיתאפשר לציבור לעבד אותן, לגבש עמדות ביחס אליהן, ואולי להשתתף בתהליכים </w:t>
      </w:r>
      <w:proofErr w:type="spellStart"/>
      <w:r w:rsidR="0083348C">
        <w:rPr>
          <w:rFonts w:hint="cs"/>
          <w:sz w:val="24"/>
          <w:rtl/>
        </w:rPr>
        <w:t>ההתדיינותיים</w:t>
      </w:r>
      <w:proofErr w:type="spellEnd"/>
      <w:r w:rsidR="0083348C">
        <w:rPr>
          <w:rFonts w:hint="cs"/>
          <w:sz w:val="24"/>
          <w:rtl/>
        </w:rPr>
        <w:t xml:space="preserve"> שיובילו להכרעתן, בין בתוך בתי המשפט ובין מחוצה להם</w:t>
      </w:r>
      <w:r w:rsidR="00B130E5" w:rsidRPr="00106D3A">
        <w:rPr>
          <w:rFonts w:hint="cs"/>
          <w:sz w:val="24"/>
          <w:rtl/>
        </w:rPr>
        <w:t>. ובעוד את צד העלות ניתן במאמץ מסוים לכמת במחיר כלכלי</w:t>
      </w:r>
      <w:r w:rsidR="00C2262A" w:rsidRPr="00106D3A">
        <w:rPr>
          <w:rFonts w:hint="cs"/>
          <w:sz w:val="24"/>
          <w:rtl/>
        </w:rPr>
        <w:t xml:space="preserve"> מדויק יחסית</w:t>
      </w:r>
      <w:r w:rsidR="00B130E5" w:rsidRPr="00106D3A">
        <w:rPr>
          <w:rFonts w:hint="cs"/>
          <w:sz w:val="24"/>
          <w:rtl/>
        </w:rPr>
        <w:t>, הרי ש</w:t>
      </w:r>
      <w:r w:rsidR="009F5096" w:rsidRPr="00106D3A">
        <w:rPr>
          <w:rFonts w:hint="cs"/>
          <w:sz w:val="24"/>
          <w:rtl/>
        </w:rPr>
        <w:t xml:space="preserve">את </w:t>
      </w:r>
      <w:r w:rsidR="00B130E5" w:rsidRPr="00106D3A">
        <w:rPr>
          <w:rFonts w:hint="cs"/>
          <w:sz w:val="24"/>
          <w:rtl/>
        </w:rPr>
        <w:t xml:space="preserve">התועלת הדמוקרטית </w:t>
      </w:r>
      <w:r w:rsidR="0088129A">
        <w:rPr>
          <w:rFonts w:hint="cs"/>
          <w:sz w:val="24"/>
          <w:rtl/>
        </w:rPr>
        <w:t>שהוצגה</w:t>
      </w:r>
      <w:r w:rsidR="00B130E5" w:rsidRPr="00106D3A">
        <w:rPr>
          <w:rFonts w:hint="cs"/>
          <w:sz w:val="24"/>
          <w:rtl/>
        </w:rPr>
        <w:t xml:space="preserve"> במאמר זה קשה לכמת במדד דומה </w:t>
      </w:r>
      <w:r w:rsidR="00845043" w:rsidRPr="00106D3A">
        <w:rPr>
          <w:rFonts w:hint="cs"/>
          <w:sz w:val="24"/>
          <w:rtl/>
        </w:rPr>
        <w:t xml:space="preserve">שיאפשר השוואה רצינית בין </w:t>
      </w:r>
      <w:r w:rsidR="007A1636" w:rsidRPr="00106D3A">
        <w:rPr>
          <w:rFonts w:hint="cs"/>
          <w:sz w:val="24"/>
          <w:rtl/>
        </w:rPr>
        <w:t>החלופות</w:t>
      </w:r>
      <w:r w:rsidR="00845043" w:rsidRPr="00106D3A">
        <w:rPr>
          <w:rFonts w:hint="cs"/>
          <w:sz w:val="24"/>
          <w:rtl/>
        </w:rPr>
        <w:t>.</w:t>
      </w:r>
      <w:r w:rsidR="00F17E47" w:rsidRPr="00106D3A">
        <w:rPr>
          <w:rFonts w:hint="cs"/>
          <w:sz w:val="24"/>
          <w:rtl/>
        </w:rPr>
        <w:t xml:space="preserve"> </w:t>
      </w:r>
    </w:p>
    <w:p w:rsidR="007B0359" w:rsidRPr="00106D3A" w:rsidRDefault="007B0359" w:rsidP="00C402BD">
      <w:pPr>
        <w:ind w:firstLine="720"/>
        <w:jc w:val="both"/>
        <w:rPr>
          <w:sz w:val="24"/>
          <w:rtl/>
        </w:rPr>
      </w:pPr>
      <w:r w:rsidRPr="00106D3A">
        <w:rPr>
          <w:rFonts w:hint="cs"/>
          <w:sz w:val="24"/>
          <w:rtl/>
        </w:rPr>
        <w:t xml:space="preserve">היבט אחר של </w:t>
      </w:r>
      <w:r w:rsidR="00E123F1" w:rsidRPr="00106D3A">
        <w:rPr>
          <w:rFonts w:hint="cs"/>
          <w:sz w:val="24"/>
          <w:rtl/>
        </w:rPr>
        <w:t xml:space="preserve">יעילות שעשוי להיות מושפע מהעצמת המודל הביזורי על פני זה הריכוזי עניינו בשאלה כיצד להבטיח הזרמה אופטימלית של תיקים חוקתיים להכרעה תקדימית בבית המשפט העליון. </w:t>
      </w:r>
      <w:r w:rsidR="003063CC" w:rsidRPr="00106D3A">
        <w:rPr>
          <w:rFonts w:hint="cs"/>
          <w:sz w:val="24"/>
          <w:rtl/>
        </w:rPr>
        <w:t xml:space="preserve">כפי </w:t>
      </w:r>
      <w:r w:rsidR="00D83C5F" w:rsidRPr="00106D3A">
        <w:rPr>
          <w:rFonts w:hint="cs"/>
          <w:sz w:val="24"/>
          <w:rtl/>
        </w:rPr>
        <w:t xml:space="preserve">שהוסבר </w:t>
      </w:r>
      <w:r w:rsidR="003063CC" w:rsidRPr="00106D3A">
        <w:rPr>
          <w:rFonts w:hint="cs"/>
          <w:sz w:val="24"/>
          <w:rtl/>
        </w:rPr>
        <w:t xml:space="preserve">בהרחבה קודם לכן, המודל הביזורי אינו כופר </w:t>
      </w:r>
      <w:r w:rsidR="00705D01">
        <w:rPr>
          <w:rFonts w:hint="cs"/>
          <w:sz w:val="24"/>
          <w:rtl/>
        </w:rPr>
        <w:t xml:space="preserve">בחיוניותה של </w:t>
      </w:r>
      <w:r w:rsidR="003063CC" w:rsidRPr="00106D3A">
        <w:rPr>
          <w:rFonts w:hint="cs"/>
          <w:sz w:val="24"/>
          <w:rtl/>
        </w:rPr>
        <w:t xml:space="preserve">הכרעה </w:t>
      </w:r>
      <w:r w:rsidR="00D83C5F" w:rsidRPr="00106D3A">
        <w:rPr>
          <w:rFonts w:hint="cs"/>
          <w:sz w:val="24"/>
          <w:rtl/>
        </w:rPr>
        <w:t xml:space="preserve">סופית בשאלות של תקפות חוקתית, אלא </w:t>
      </w:r>
      <w:r w:rsidR="00B05ADC" w:rsidRPr="00106D3A">
        <w:rPr>
          <w:rFonts w:hint="cs"/>
          <w:sz w:val="24"/>
          <w:rtl/>
        </w:rPr>
        <w:t xml:space="preserve">הוא </w:t>
      </w:r>
      <w:r w:rsidR="00D83C5F" w:rsidRPr="00106D3A">
        <w:rPr>
          <w:rFonts w:hint="cs"/>
          <w:sz w:val="24"/>
          <w:rtl/>
        </w:rPr>
        <w:t xml:space="preserve">שואף שהכרעה זו תבוא אחרי </w:t>
      </w:r>
      <w:r w:rsidR="00B05ADC" w:rsidRPr="00106D3A">
        <w:rPr>
          <w:rFonts w:hint="cs"/>
          <w:sz w:val="24"/>
          <w:rtl/>
        </w:rPr>
        <w:t>שנוהל שיח מפרה ומכבד על</w:t>
      </w:r>
      <w:r w:rsidR="001B4965" w:rsidRPr="00106D3A">
        <w:rPr>
          <w:rFonts w:hint="cs"/>
          <w:sz w:val="24"/>
          <w:rtl/>
        </w:rPr>
        <w:t xml:space="preserve"> הסוגיה החוקתית</w:t>
      </w:r>
      <w:r w:rsidR="00B05ADC" w:rsidRPr="00106D3A">
        <w:rPr>
          <w:rFonts w:hint="cs"/>
          <w:sz w:val="24"/>
          <w:rtl/>
        </w:rPr>
        <w:t xml:space="preserve">, בין היתר דרך הליטיגציה בערכאות הדיון. </w:t>
      </w:r>
      <w:r w:rsidR="00C37A22" w:rsidRPr="00106D3A">
        <w:rPr>
          <w:rFonts w:hint="cs"/>
          <w:sz w:val="24"/>
          <w:rtl/>
        </w:rPr>
        <w:t>חשש מסוים במודל ביזורי הנו שהעניין "ייתקע" בערכאות הנמוכות, ובגלל שיקולים פרטיים של בעלי</w:t>
      </w:r>
      <w:r w:rsidR="00F72EDF" w:rsidRPr="00106D3A">
        <w:rPr>
          <w:rFonts w:hint="cs"/>
          <w:sz w:val="24"/>
          <w:rtl/>
        </w:rPr>
        <w:t xml:space="preserve"> </w:t>
      </w:r>
      <w:r w:rsidR="00C37A22" w:rsidRPr="00106D3A">
        <w:rPr>
          <w:rFonts w:hint="cs"/>
          <w:sz w:val="24"/>
          <w:rtl/>
        </w:rPr>
        <w:t xml:space="preserve">דין </w:t>
      </w:r>
      <w:r w:rsidR="00C402BD">
        <w:rPr>
          <w:rFonts w:hint="cs"/>
          <w:sz w:val="24"/>
          <w:rtl/>
        </w:rPr>
        <w:t xml:space="preserve">שאינם מייצגים את אינטרס הציבור, </w:t>
      </w:r>
      <w:r w:rsidR="00C37A22" w:rsidRPr="00106D3A">
        <w:rPr>
          <w:rFonts w:hint="cs"/>
          <w:sz w:val="24"/>
          <w:rtl/>
        </w:rPr>
        <w:t>לא יצליח לטפס להכרעה סופית בבית המשפט העליון</w:t>
      </w:r>
      <w:r w:rsidR="00DB3793" w:rsidRPr="00106D3A">
        <w:rPr>
          <w:rFonts w:hint="cs"/>
          <w:sz w:val="24"/>
          <w:rtl/>
        </w:rPr>
        <w:t>, בין בכלל ובין בזמן המתאים</w:t>
      </w:r>
      <w:r w:rsidR="00C37A22" w:rsidRPr="00106D3A">
        <w:rPr>
          <w:rFonts w:hint="cs"/>
          <w:sz w:val="24"/>
          <w:rtl/>
        </w:rPr>
        <w:t xml:space="preserve">. </w:t>
      </w:r>
      <w:r w:rsidR="00F72EDF" w:rsidRPr="00106D3A">
        <w:rPr>
          <w:rFonts w:hint="cs"/>
          <w:sz w:val="24"/>
          <w:rtl/>
        </w:rPr>
        <w:t xml:space="preserve">זהו אתגר מוכר בכל הקשר של הפקדת כוח ציבורי בידי גורם פרטי </w:t>
      </w:r>
      <w:r w:rsidR="00F72EDF" w:rsidRPr="00106D3A">
        <w:rPr>
          <w:sz w:val="24"/>
          <w:rtl/>
        </w:rPr>
        <w:t>–</w:t>
      </w:r>
      <w:r w:rsidR="00F72EDF" w:rsidRPr="00106D3A">
        <w:rPr>
          <w:rFonts w:hint="cs"/>
          <w:sz w:val="24"/>
          <w:rtl/>
        </w:rPr>
        <w:t xml:space="preserve"> כיצד </w:t>
      </w:r>
      <w:r w:rsidR="00DB3793" w:rsidRPr="00106D3A">
        <w:rPr>
          <w:rFonts w:hint="cs"/>
          <w:sz w:val="24"/>
          <w:rtl/>
        </w:rPr>
        <w:t xml:space="preserve">להבטיח הלימה </w:t>
      </w:r>
      <w:r w:rsidR="00F72EDF" w:rsidRPr="00106D3A">
        <w:rPr>
          <w:rFonts w:hint="cs"/>
          <w:sz w:val="24"/>
          <w:rtl/>
        </w:rPr>
        <w:t xml:space="preserve">בין האינטרס הפרטי </w:t>
      </w:r>
      <w:r w:rsidR="00DB3793" w:rsidRPr="00106D3A">
        <w:rPr>
          <w:rFonts w:hint="cs"/>
          <w:sz w:val="24"/>
          <w:rtl/>
        </w:rPr>
        <w:t>(במקרה זה, של בעלי הדין</w:t>
      </w:r>
      <w:r w:rsidR="002C7854" w:rsidRPr="00106D3A">
        <w:rPr>
          <w:rFonts w:hint="cs"/>
          <w:sz w:val="24"/>
          <w:rtl/>
        </w:rPr>
        <w:t xml:space="preserve"> העושים לעצמם</w:t>
      </w:r>
      <w:r w:rsidR="00DB3793" w:rsidRPr="00106D3A">
        <w:rPr>
          <w:rFonts w:hint="cs"/>
          <w:sz w:val="24"/>
          <w:rtl/>
        </w:rPr>
        <w:t xml:space="preserve">) </w:t>
      </w:r>
      <w:r w:rsidR="00F72EDF" w:rsidRPr="00106D3A">
        <w:rPr>
          <w:rFonts w:hint="cs"/>
          <w:sz w:val="24"/>
          <w:rtl/>
        </w:rPr>
        <w:t>לבין התועלת הציבורית</w:t>
      </w:r>
      <w:r w:rsidR="00DB3793" w:rsidRPr="00106D3A">
        <w:rPr>
          <w:rFonts w:hint="cs"/>
          <w:sz w:val="24"/>
          <w:rtl/>
        </w:rPr>
        <w:t xml:space="preserve"> (המתבטאת בהבאת העניין החוקתי בנקודת זמן אופטימלית להכרעה תקדימית)</w:t>
      </w:r>
      <w:r w:rsidR="00EC3D55" w:rsidRPr="00106D3A">
        <w:rPr>
          <w:rFonts w:hint="cs"/>
          <w:sz w:val="24"/>
          <w:rtl/>
        </w:rPr>
        <w:t xml:space="preserve">. </w:t>
      </w:r>
    </w:p>
    <w:p w:rsidR="00D456A0" w:rsidRPr="00106D3A" w:rsidRDefault="009D729F" w:rsidP="00302B83">
      <w:pPr>
        <w:ind w:firstLine="720"/>
        <w:jc w:val="both"/>
        <w:rPr>
          <w:sz w:val="24"/>
        </w:rPr>
      </w:pPr>
      <w:r>
        <w:rPr>
          <w:rFonts w:hint="cs"/>
          <w:sz w:val="24"/>
          <w:rtl/>
        </w:rPr>
        <w:t xml:space="preserve">כמובן, גם זו בעיה כללית של שיטת משפט מבוזרת שבה ההחלטה האם יהיה ערעור וייקבע תקדים נתונה בפועל בידי בעלי הדין. </w:t>
      </w:r>
      <w:r w:rsidR="001F20EF">
        <w:rPr>
          <w:rFonts w:hint="cs"/>
          <w:sz w:val="24"/>
          <w:rtl/>
        </w:rPr>
        <w:t xml:space="preserve">מכל מקום, ככל שהתחום החוקתי מצדיק יחס מיוחד בעניין זה, </w:t>
      </w:r>
      <w:r w:rsidR="004B4F3B" w:rsidRPr="00106D3A">
        <w:rPr>
          <w:rFonts w:hint="cs"/>
          <w:sz w:val="24"/>
          <w:rtl/>
        </w:rPr>
        <w:t>נדמה שהמענה ל</w:t>
      </w:r>
      <w:r w:rsidR="00302B83">
        <w:rPr>
          <w:rFonts w:hint="cs"/>
          <w:sz w:val="24"/>
          <w:rtl/>
        </w:rPr>
        <w:t>ו צרי</w:t>
      </w:r>
      <w:r w:rsidR="004B4F3B" w:rsidRPr="00106D3A">
        <w:rPr>
          <w:rFonts w:hint="cs"/>
          <w:sz w:val="24"/>
          <w:rtl/>
        </w:rPr>
        <w:t xml:space="preserve"> להיות מוסדי. כלומר, יידרש פיתוח של הליך כלשהו שיבטיח שבסופו של התהליך הביזורי </w:t>
      </w:r>
      <w:r w:rsidR="002D3217" w:rsidRPr="00106D3A">
        <w:rPr>
          <w:rFonts w:hint="cs"/>
          <w:sz w:val="24"/>
          <w:rtl/>
        </w:rPr>
        <w:t xml:space="preserve">שאלות </w:t>
      </w:r>
      <w:r w:rsidR="004B4F3B" w:rsidRPr="00106D3A">
        <w:rPr>
          <w:rFonts w:hint="cs"/>
          <w:sz w:val="24"/>
          <w:rtl/>
        </w:rPr>
        <w:t>חוקתי</w:t>
      </w:r>
      <w:r w:rsidR="002D3217" w:rsidRPr="00106D3A">
        <w:rPr>
          <w:rFonts w:hint="cs"/>
          <w:sz w:val="24"/>
          <w:rtl/>
        </w:rPr>
        <w:t>ות</w:t>
      </w:r>
      <w:r w:rsidR="004B4F3B" w:rsidRPr="00106D3A">
        <w:rPr>
          <w:rFonts w:hint="cs"/>
          <w:sz w:val="24"/>
          <w:rtl/>
        </w:rPr>
        <w:t xml:space="preserve"> חשוב</w:t>
      </w:r>
      <w:r w:rsidR="00A67CE8" w:rsidRPr="00106D3A">
        <w:rPr>
          <w:rFonts w:hint="cs"/>
          <w:sz w:val="24"/>
          <w:rtl/>
        </w:rPr>
        <w:t>ות</w:t>
      </w:r>
      <w:r w:rsidR="004B4F3B" w:rsidRPr="00106D3A">
        <w:rPr>
          <w:rFonts w:hint="cs"/>
          <w:sz w:val="24"/>
          <w:rtl/>
        </w:rPr>
        <w:t xml:space="preserve"> יובאו להכרעה סופית של בית המשפט העליון (אם לא נפתרו בינתיים על ידי הרשויות האחרות)</w:t>
      </w:r>
      <w:r w:rsidR="002D3217" w:rsidRPr="00106D3A">
        <w:rPr>
          <w:rFonts w:hint="cs"/>
          <w:sz w:val="24"/>
          <w:rtl/>
        </w:rPr>
        <w:t xml:space="preserve">, </w:t>
      </w:r>
      <w:r w:rsidR="0090320E" w:rsidRPr="00106D3A">
        <w:rPr>
          <w:rFonts w:hint="cs"/>
          <w:sz w:val="24"/>
          <w:rtl/>
        </w:rPr>
        <w:t xml:space="preserve">וזאת </w:t>
      </w:r>
      <w:r w:rsidR="002D3217" w:rsidRPr="00106D3A">
        <w:rPr>
          <w:rFonts w:hint="cs"/>
          <w:sz w:val="24"/>
          <w:rtl/>
        </w:rPr>
        <w:t xml:space="preserve">גם אם בעלי הדין עצמם בוחרים שלא לערער. ניתן לחשוב כאן למשל על מנגנון שיפעיל בית המשפט העליון של </w:t>
      </w:r>
      <w:r w:rsidR="000565E9" w:rsidRPr="00106D3A">
        <w:rPr>
          <w:rFonts w:hint="cs"/>
          <w:sz w:val="24"/>
          <w:rtl/>
        </w:rPr>
        <w:t xml:space="preserve">איתור </w:t>
      </w:r>
      <w:r w:rsidR="001E7ADD" w:rsidRPr="00106D3A">
        <w:rPr>
          <w:rFonts w:hint="cs"/>
          <w:sz w:val="24"/>
          <w:rtl/>
        </w:rPr>
        <w:t xml:space="preserve">ממוקד או של </w:t>
      </w:r>
      <w:r w:rsidR="002D3217" w:rsidRPr="00106D3A">
        <w:rPr>
          <w:rFonts w:hint="cs"/>
          <w:sz w:val="24"/>
          <w:rtl/>
        </w:rPr>
        <w:t>דגימה אקראית של תיקים חוקתיים המתנהלים בערכאות הדיון</w:t>
      </w:r>
      <w:r w:rsidR="000565E9" w:rsidRPr="00106D3A">
        <w:rPr>
          <w:rFonts w:hint="cs"/>
          <w:sz w:val="24"/>
          <w:rtl/>
        </w:rPr>
        <w:t xml:space="preserve"> ו"משיכתם" לביקורת </w:t>
      </w:r>
      <w:proofErr w:type="spellStart"/>
      <w:r w:rsidR="000565E9" w:rsidRPr="00106D3A">
        <w:rPr>
          <w:rFonts w:hint="cs"/>
          <w:sz w:val="24"/>
          <w:rtl/>
        </w:rPr>
        <w:t>ערעורית</w:t>
      </w:r>
      <w:proofErr w:type="spellEnd"/>
      <w:r w:rsidR="002D3217" w:rsidRPr="00106D3A">
        <w:rPr>
          <w:rFonts w:hint="cs"/>
          <w:sz w:val="24"/>
          <w:rtl/>
        </w:rPr>
        <w:t xml:space="preserve">; או על מתן סמכות שבשיקול דעת לערכאת הדיון להחליט על שליחת </w:t>
      </w:r>
      <w:r w:rsidR="00DF46F9" w:rsidRPr="00106D3A">
        <w:rPr>
          <w:rFonts w:hint="cs"/>
          <w:sz w:val="24"/>
          <w:rtl/>
        </w:rPr>
        <w:t xml:space="preserve">החלטתה </w:t>
      </w:r>
      <w:r w:rsidR="002D3217" w:rsidRPr="00106D3A">
        <w:rPr>
          <w:rFonts w:hint="cs"/>
          <w:sz w:val="24"/>
          <w:rtl/>
        </w:rPr>
        <w:t>לערעור בערכאה שמעליה</w:t>
      </w:r>
      <w:r w:rsidR="0063721A" w:rsidRPr="00106D3A">
        <w:rPr>
          <w:rFonts w:hint="cs"/>
          <w:sz w:val="24"/>
          <w:rtl/>
        </w:rPr>
        <w:t xml:space="preserve">. לחלופין ניתן לחייב את היועץ המשפטי לממשלה להתייצב בתיקים חוקתיים </w:t>
      </w:r>
      <w:r w:rsidR="00852EE3" w:rsidRPr="00106D3A">
        <w:rPr>
          <w:rFonts w:hint="cs"/>
          <w:sz w:val="24"/>
          <w:rtl/>
        </w:rPr>
        <w:t xml:space="preserve">בערכאות הדיון, ולתבוע ממנו לייצג את אינטרס הציבור בין היתר בהקשר של הובלת ההליך להכרעה </w:t>
      </w:r>
      <w:r w:rsidR="004809BA" w:rsidRPr="00106D3A">
        <w:rPr>
          <w:rFonts w:hint="cs"/>
          <w:sz w:val="24"/>
          <w:rtl/>
        </w:rPr>
        <w:t>בערכאות הערעור</w:t>
      </w:r>
      <w:r w:rsidR="00852EE3" w:rsidRPr="00106D3A">
        <w:rPr>
          <w:rFonts w:hint="cs"/>
          <w:sz w:val="24"/>
          <w:rtl/>
        </w:rPr>
        <w:t>.</w:t>
      </w:r>
      <w:bookmarkStart w:id="43" w:name="_Ref373312215"/>
      <w:r w:rsidR="003F5DEB" w:rsidRPr="00106D3A">
        <w:rPr>
          <w:rStyle w:val="FootnoteReference"/>
          <w:sz w:val="24"/>
          <w:rtl/>
        </w:rPr>
        <w:footnoteReference w:id="110"/>
      </w:r>
      <w:bookmarkEnd w:id="43"/>
      <w:r w:rsidR="00D456A0" w:rsidRPr="00106D3A">
        <w:rPr>
          <w:rFonts w:hint="cs"/>
          <w:sz w:val="24"/>
          <w:rtl/>
        </w:rPr>
        <w:t xml:space="preserve"> אמנם גם למדינה עשויים להיות אינטרסים סותרים בליטיגציה חוקתית כזו </w:t>
      </w:r>
      <w:r w:rsidR="00D456A0" w:rsidRPr="00106D3A">
        <w:rPr>
          <w:sz w:val="24"/>
          <w:rtl/>
        </w:rPr>
        <w:t>–</w:t>
      </w:r>
      <w:r w:rsidR="00D456A0" w:rsidRPr="00106D3A">
        <w:rPr>
          <w:rFonts w:hint="cs"/>
          <w:sz w:val="24"/>
          <w:rtl/>
        </w:rPr>
        <w:t xml:space="preserve"> על כך בתת-הפרק הבא. </w:t>
      </w:r>
    </w:p>
    <w:p w:rsidR="00E123F1" w:rsidRPr="00106D3A" w:rsidRDefault="00E123F1" w:rsidP="0098791C">
      <w:pPr>
        <w:ind w:left="720"/>
        <w:jc w:val="both"/>
        <w:rPr>
          <w:sz w:val="24"/>
        </w:rPr>
      </w:pPr>
    </w:p>
    <w:p w:rsidR="00621FF2" w:rsidRPr="00106D3A" w:rsidRDefault="00CE3A6B" w:rsidP="00D374A3">
      <w:pPr>
        <w:pStyle w:val="Heading2"/>
      </w:pPr>
      <w:bookmarkStart w:id="44" w:name="_Toc372223065"/>
      <w:r w:rsidRPr="00106D3A">
        <w:rPr>
          <w:rFonts w:hint="cs"/>
          <w:rtl/>
        </w:rPr>
        <w:lastRenderedPageBreak/>
        <w:t>הגינות חלוקתית</w:t>
      </w:r>
      <w:bookmarkEnd w:id="44"/>
      <w:r w:rsidR="006B12F5">
        <w:rPr>
          <w:rFonts w:hint="cs"/>
          <w:rtl/>
        </w:rPr>
        <w:t xml:space="preserve"> והמדינה כבעל דין</w:t>
      </w:r>
    </w:p>
    <w:p w:rsidR="00046557" w:rsidRPr="00106D3A" w:rsidRDefault="001F6022" w:rsidP="007439FA">
      <w:pPr>
        <w:ind w:firstLine="720"/>
        <w:jc w:val="both"/>
        <w:rPr>
          <w:sz w:val="24"/>
          <w:rtl/>
        </w:rPr>
      </w:pPr>
      <w:r w:rsidRPr="00106D3A">
        <w:rPr>
          <w:rFonts w:hint="cs"/>
          <w:sz w:val="24"/>
          <w:rtl/>
        </w:rPr>
        <w:t xml:space="preserve">ביקורת </w:t>
      </w:r>
      <w:r w:rsidR="00590E54" w:rsidRPr="00106D3A">
        <w:rPr>
          <w:rFonts w:hint="cs"/>
          <w:sz w:val="24"/>
          <w:rtl/>
        </w:rPr>
        <w:t>משמעותית על</w:t>
      </w:r>
      <w:r w:rsidRPr="00106D3A">
        <w:rPr>
          <w:rFonts w:hint="cs"/>
          <w:sz w:val="24"/>
          <w:rtl/>
        </w:rPr>
        <w:t xml:space="preserve"> המודל הביזורי מציגה אותו כמעצים באופן לא הוגן את כוחה של המדינה </w:t>
      </w:r>
      <w:proofErr w:type="spellStart"/>
      <w:r w:rsidRPr="00106D3A">
        <w:rPr>
          <w:rFonts w:hint="cs"/>
          <w:sz w:val="24"/>
          <w:rtl/>
        </w:rPr>
        <w:t>ב</w:t>
      </w:r>
      <w:r w:rsidR="00590E54" w:rsidRPr="00106D3A">
        <w:rPr>
          <w:rFonts w:hint="cs"/>
          <w:sz w:val="24"/>
          <w:rtl/>
        </w:rPr>
        <w:t>ל</w:t>
      </w:r>
      <w:r w:rsidRPr="00106D3A">
        <w:rPr>
          <w:rFonts w:hint="cs"/>
          <w:sz w:val="24"/>
          <w:rtl/>
        </w:rPr>
        <w:t>יטיגציות</w:t>
      </w:r>
      <w:proofErr w:type="spellEnd"/>
      <w:r w:rsidRPr="00106D3A">
        <w:rPr>
          <w:rFonts w:hint="cs"/>
          <w:sz w:val="24"/>
          <w:rtl/>
        </w:rPr>
        <w:t xml:space="preserve"> חוקתיות.</w:t>
      </w:r>
      <w:r w:rsidR="002C4598" w:rsidRPr="00106D3A">
        <w:rPr>
          <w:rFonts w:hint="cs"/>
          <w:sz w:val="24"/>
          <w:rtl/>
        </w:rPr>
        <w:t xml:space="preserve"> </w:t>
      </w:r>
      <w:r w:rsidR="00DF50AA" w:rsidRPr="00106D3A">
        <w:rPr>
          <w:rFonts w:hint="cs"/>
          <w:sz w:val="24"/>
          <w:rtl/>
        </w:rPr>
        <w:t xml:space="preserve">הטיעון מבוסס על </w:t>
      </w:r>
      <w:proofErr w:type="spellStart"/>
      <w:r w:rsidR="00DF50AA" w:rsidRPr="00106D3A">
        <w:rPr>
          <w:rFonts w:hint="cs"/>
          <w:sz w:val="24"/>
          <w:rtl/>
        </w:rPr>
        <w:t>אופיה</w:t>
      </w:r>
      <w:proofErr w:type="spellEnd"/>
      <w:r w:rsidR="00DF50AA" w:rsidRPr="00106D3A">
        <w:rPr>
          <w:rFonts w:hint="cs"/>
          <w:sz w:val="24"/>
          <w:rtl/>
        </w:rPr>
        <w:t xml:space="preserve"> של המדינה כ"שחקנית חוזרת" </w:t>
      </w:r>
      <w:r w:rsidR="00D0657C" w:rsidRPr="00106D3A">
        <w:rPr>
          <w:rFonts w:hint="cs"/>
          <w:sz w:val="24"/>
          <w:rtl/>
        </w:rPr>
        <w:t>ב</w:t>
      </w:r>
      <w:r w:rsidR="007439FA" w:rsidRPr="00106D3A">
        <w:rPr>
          <w:rFonts w:hint="cs"/>
          <w:sz w:val="24"/>
          <w:rtl/>
        </w:rPr>
        <w:t>רבים מה</w:t>
      </w:r>
      <w:r w:rsidR="00D0657C" w:rsidRPr="00106D3A">
        <w:rPr>
          <w:rFonts w:hint="cs"/>
          <w:sz w:val="24"/>
          <w:rtl/>
        </w:rPr>
        <w:t xml:space="preserve">הליכים בנושאים חוקתיים, </w:t>
      </w:r>
      <w:r w:rsidR="007439FA" w:rsidRPr="00106D3A">
        <w:rPr>
          <w:rFonts w:hint="cs"/>
          <w:sz w:val="24"/>
          <w:rtl/>
        </w:rPr>
        <w:t>מה שמאפשר לה</w:t>
      </w:r>
      <w:r w:rsidR="00D0657C" w:rsidRPr="00106D3A">
        <w:rPr>
          <w:rFonts w:hint="cs"/>
          <w:sz w:val="24"/>
          <w:rtl/>
        </w:rPr>
        <w:t xml:space="preserve"> להתנהל באופן אסטרטגי על פני סדרה ארוכה של תיקים. זאת בניגוד </w:t>
      </w:r>
      <w:r w:rsidR="00371912" w:rsidRPr="00106D3A">
        <w:rPr>
          <w:rFonts w:hint="cs"/>
          <w:sz w:val="24"/>
          <w:rtl/>
        </w:rPr>
        <w:t xml:space="preserve">לבעלי הדין המבקשים את הביקורת השיפוטית, שהם בדרך כלל </w:t>
      </w:r>
      <w:r w:rsidR="00463AEA" w:rsidRPr="00106D3A">
        <w:rPr>
          <w:rFonts w:hint="cs"/>
          <w:sz w:val="24"/>
          <w:rtl/>
        </w:rPr>
        <w:t xml:space="preserve">"שחקנים חד-פעמיים" </w:t>
      </w:r>
      <w:r w:rsidR="00463AEA" w:rsidRPr="00106D3A">
        <w:rPr>
          <w:sz w:val="24"/>
          <w:rtl/>
        </w:rPr>
        <w:t>–</w:t>
      </w:r>
      <w:r w:rsidR="00463AEA" w:rsidRPr="00106D3A">
        <w:rPr>
          <w:rFonts w:hint="cs"/>
          <w:sz w:val="24"/>
          <w:rtl/>
        </w:rPr>
        <w:t xml:space="preserve"> </w:t>
      </w:r>
      <w:r w:rsidR="00371912" w:rsidRPr="00106D3A">
        <w:rPr>
          <w:rFonts w:hint="cs"/>
          <w:sz w:val="24"/>
          <w:rtl/>
        </w:rPr>
        <w:t xml:space="preserve">יחידים הטוענים לפגיעה </w:t>
      </w:r>
      <w:r w:rsidR="007E409E" w:rsidRPr="00106D3A">
        <w:rPr>
          <w:rFonts w:hint="cs"/>
          <w:sz w:val="24"/>
          <w:rtl/>
        </w:rPr>
        <w:t xml:space="preserve">קונקרטית </w:t>
      </w:r>
      <w:r w:rsidR="00371912" w:rsidRPr="00106D3A">
        <w:rPr>
          <w:rFonts w:hint="cs"/>
          <w:sz w:val="24"/>
          <w:rtl/>
        </w:rPr>
        <w:t>בזכויותיהם</w:t>
      </w:r>
      <w:r w:rsidR="006E4885" w:rsidRPr="00106D3A">
        <w:rPr>
          <w:rFonts w:hint="cs"/>
          <w:sz w:val="24"/>
          <w:rtl/>
        </w:rPr>
        <w:t xml:space="preserve"> בהליך בודד</w:t>
      </w:r>
      <w:r w:rsidR="00371912" w:rsidRPr="00106D3A">
        <w:rPr>
          <w:rFonts w:hint="cs"/>
          <w:sz w:val="24"/>
          <w:rtl/>
        </w:rPr>
        <w:t>.</w:t>
      </w:r>
      <w:r w:rsidR="00174D5D" w:rsidRPr="00106D3A">
        <w:rPr>
          <w:rStyle w:val="FootnoteReference"/>
          <w:sz w:val="24"/>
          <w:rtl/>
        </w:rPr>
        <w:footnoteReference w:id="111"/>
      </w:r>
      <w:r w:rsidR="00371912" w:rsidRPr="00106D3A">
        <w:rPr>
          <w:rFonts w:hint="cs"/>
          <w:sz w:val="24"/>
          <w:rtl/>
        </w:rPr>
        <w:t xml:space="preserve"> </w:t>
      </w:r>
      <w:r w:rsidR="00CB2E5A" w:rsidRPr="00106D3A">
        <w:rPr>
          <w:rFonts w:hint="cs"/>
          <w:sz w:val="24"/>
          <w:rtl/>
        </w:rPr>
        <w:t xml:space="preserve">בגלל הפער המובנה הזה, המדינה בהליך הביזורי יכולה </w:t>
      </w:r>
      <w:r w:rsidR="0055081E" w:rsidRPr="00106D3A">
        <w:rPr>
          <w:rFonts w:hint="cs"/>
          <w:sz w:val="24"/>
          <w:rtl/>
        </w:rPr>
        <w:t xml:space="preserve">לכאורה </w:t>
      </w:r>
      <w:r w:rsidR="00CB2E5A" w:rsidRPr="00106D3A">
        <w:rPr>
          <w:rFonts w:hint="cs"/>
          <w:sz w:val="24"/>
          <w:rtl/>
        </w:rPr>
        <w:t>לבחור בכל מקרה ומקרה כיצד לנהוג לאחר ההחלטה השיפוטי</w:t>
      </w:r>
      <w:r w:rsidR="00046557" w:rsidRPr="00106D3A">
        <w:rPr>
          <w:rFonts w:hint="cs"/>
          <w:sz w:val="24"/>
          <w:rtl/>
        </w:rPr>
        <w:t>ת</w:t>
      </w:r>
      <w:r w:rsidR="0055081E" w:rsidRPr="00106D3A">
        <w:rPr>
          <w:rFonts w:hint="cs"/>
          <w:sz w:val="24"/>
          <w:rtl/>
        </w:rPr>
        <w:t xml:space="preserve">. </w:t>
      </w:r>
    </w:p>
    <w:p w:rsidR="00CB2E5A" w:rsidRPr="00106D3A" w:rsidRDefault="0055081E" w:rsidP="00AF3B08">
      <w:pPr>
        <w:ind w:firstLine="720"/>
        <w:jc w:val="both"/>
        <w:rPr>
          <w:sz w:val="24"/>
          <w:rtl/>
        </w:rPr>
      </w:pPr>
      <w:r w:rsidRPr="00106D3A">
        <w:rPr>
          <w:rFonts w:hint="cs"/>
          <w:sz w:val="24"/>
          <w:rtl/>
        </w:rPr>
        <w:t xml:space="preserve">כך, </w:t>
      </w:r>
      <w:r w:rsidR="00CB2E5A" w:rsidRPr="00106D3A">
        <w:rPr>
          <w:rFonts w:hint="cs"/>
          <w:sz w:val="24"/>
          <w:rtl/>
        </w:rPr>
        <w:t xml:space="preserve">אם התקבלה הטענה לביקורת שיפוטית ונקבע שהחוק בטל, </w:t>
      </w:r>
      <w:r w:rsidR="00267A27" w:rsidRPr="00106D3A">
        <w:rPr>
          <w:rFonts w:hint="cs"/>
          <w:sz w:val="24"/>
          <w:rtl/>
        </w:rPr>
        <w:t>המדינה</w:t>
      </w:r>
      <w:r w:rsidR="00CB2E5A" w:rsidRPr="00106D3A">
        <w:rPr>
          <w:rFonts w:hint="cs"/>
          <w:sz w:val="24"/>
          <w:rtl/>
        </w:rPr>
        <w:t xml:space="preserve"> יכולה </w:t>
      </w:r>
      <w:r w:rsidR="006F25C7">
        <w:rPr>
          <w:rFonts w:hint="cs"/>
          <w:sz w:val="24"/>
          <w:rtl/>
        </w:rPr>
        <w:t xml:space="preserve">על פניו </w:t>
      </w:r>
      <w:r w:rsidR="00CB2E5A" w:rsidRPr="00106D3A">
        <w:rPr>
          <w:rFonts w:hint="cs"/>
          <w:sz w:val="24"/>
          <w:rtl/>
        </w:rPr>
        <w:t xml:space="preserve">לבחור לערער, או שלא לערער. המדינה </w:t>
      </w:r>
      <w:r w:rsidR="00DF2383" w:rsidRPr="00106D3A">
        <w:rPr>
          <w:rFonts w:hint="cs"/>
          <w:sz w:val="24"/>
          <w:rtl/>
        </w:rPr>
        <w:t xml:space="preserve">צפויה לערער </w:t>
      </w:r>
      <w:r w:rsidR="00CB2E5A" w:rsidRPr="00106D3A">
        <w:rPr>
          <w:rFonts w:hint="cs"/>
          <w:sz w:val="24"/>
          <w:rtl/>
        </w:rPr>
        <w:t xml:space="preserve">אם היא סבורה שסיכויי ההצלחה של ערעורה גבוהים (למשל אם הטענה </w:t>
      </w:r>
      <w:proofErr w:type="spellStart"/>
      <w:r w:rsidR="00CB2E5A" w:rsidRPr="00106D3A">
        <w:rPr>
          <w:rFonts w:hint="cs"/>
          <w:sz w:val="24"/>
          <w:rtl/>
        </w:rPr>
        <w:t>היתה</w:t>
      </w:r>
      <w:proofErr w:type="spellEnd"/>
      <w:r w:rsidR="00CB2E5A" w:rsidRPr="00106D3A">
        <w:rPr>
          <w:rFonts w:hint="cs"/>
          <w:sz w:val="24"/>
          <w:rtl/>
        </w:rPr>
        <w:t xml:space="preserve"> קלושה, או אם בערכאת הערעור יוש</w:t>
      </w:r>
      <w:r w:rsidR="00D41D99" w:rsidRPr="00106D3A">
        <w:rPr>
          <w:rFonts w:hint="cs"/>
          <w:sz w:val="24"/>
          <w:rtl/>
        </w:rPr>
        <w:t>בים שופטים שמרנים יותר, וכדומה)</w:t>
      </w:r>
      <w:r w:rsidR="00DD622F" w:rsidRPr="00106D3A">
        <w:rPr>
          <w:rFonts w:hint="cs"/>
          <w:sz w:val="24"/>
          <w:rtl/>
        </w:rPr>
        <w:t>, ו</w:t>
      </w:r>
      <w:r w:rsidR="00161C1E" w:rsidRPr="00106D3A">
        <w:rPr>
          <w:rFonts w:hint="cs"/>
          <w:sz w:val="24"/>
          <w:rtl/>
        </w:rPr>
        <w:t>כך יתאפשר לה לעגן תקדים שיאשר את חוקתיות החוק</w:t>
      </w:r>
      <w:r w:rsidR="00D41D99" w:rsidRPr="00106D3A">
        <w:rPr>
          <w:rFonts w:hint="cs"/>
          <w:sz w:val="24"/>
          <w:rtl/>
        </w:rPr>
        <w:t>. אך המדינה עשויה לבחור גם שלא לערער על ההחלטה החוקתית</w:t>
      </w:r>
      <w:r w:rsidR="00DB4069" w:rsidRPr="00106D3A">
        <w:rPr>
          <w:rFonts w:hint="cs"/>
          <w:sz w:val="24"/>
          <w:rtl/>
        </w:rPr>
        <w:t xml:space="preserve"> </w:t>
      </w:r>
      <w:r w:rsidR="00DB4069" w:rsidRPr="00106D3A">
        <w:rPr>
          <w:sz w:val="24"/>
          <w:rtl/>
        </w:rPr>
        <w:t>–</w:t>
      </w:r>
      <w:r w:rsidR="00DB4069" w:rsidRPr="00106D3A">
        <w:rPr>
          <w:rFonts w:hint="cs"/>
          <w:sz w:val="24"/>
          <w:rtl/>
        </w:rPr>
        <w:t xml:space="preserve"> אם למשל היא חוששת מפני אישורה בערכאות הערעור. במצב כזה המדינה יכולה </w:t>
      </w:r>
      <w:r w:rsidR="00D41D99" w:rsidRPr="00106D3A">
        <w:rPr>
          <w:rFonts w:hint="cs"/>
          <w:sz w:val="24"/>
          <w:rtl/>
        </w:rPr>
        <w:t xml:space="preserve">לקבל על עצמה את התוצאה ככל שהיא חלה כלפי בעל הדין המסוים, ולהמשיך </w:t>
      </w:r>
      <w:r w:rsidR="00C20B93" w:rsidRPr="00106D3A">
        <w:rPr>
          <w:rFonts w:hint="cs"/>
          <w:sz w:val="24"/>
          <w:rtl/>
        </w:rPr>
        <w:t>ולקיים הפירוש החוקתי שלה (</w:t>
      </w:r>
      <w:r w:rsidR="00BE20B8" w:rsidRPr="00106D3A">
        <w:rPr>
          <w:rFonts w:hint="cs"/>
          <w:sz w:val="24"/>
          <w:rtl/>
        </w:rPr>
        <w:t>שנדחה ב</w:t>
      </w:r>
      <w:r w:rsidR="00C20B93" w:rsidRPr="00106D3A">
        <w:rPr>
          <w:rFonts w:hint="cs"/>
          <w:sz w:val="24"/>
          <w:rtl/>
        </w:rPr>
        <w:t>מקרה</w:t>
      </w:r>
      <w:r w:rsidR="00BE20B8" w:rsidRPr="00106D3A">
        <w:rPr>
          <w:rFonts w:hint="cs"/>
          <w:sz w:val="24"/>
          <w:rtl/>
        </w:rPr>
        <w:t xml:space="preserve"> המסוים</w:t>
      </w:r>
      <w:r w:rsidR="00C20B93" w:rsidRPr="00106D3A">
        <w:rPr>
          <w:rFonts w:hint="cs"/>
          <w:sz w:val="24"/>
          <w:rtl/>
        </w:rPr>
        <w:t xml:space="preserve">), ביחס לכל המקרים האחרים שלא נדונו בבית המשפט. </w:t>
      </w:r>
      <w:r w:rsidR="00933450" w:rsidRPr="00106D3A">
        <w:rPr>
          <w:rFonts w:hint="cs"/>
          <w:sz w:val="24"/>
          <w:rtl/>
        </w:rPr>
        <w:t xml:space="preserve">כך נהגה </w:t>
      </w:r>
      <w:r w:rsidR="00C53F0A" w:rsidRPr="00106D3A">
        <w:rPr>
          <w:rFonts w:hint="cs"/>
          <w:sz w:val="24"/>
          <w:rtl/>
        </w:rPr>
        <w:t xml:space="preserve">כמדומה </w:t>
      </w:r>
      <w:r w:rsidR="00933450" w:rsidRPr="00106D3A">
        <w:rPr>
          <w:rFonts w:hint="cs"/>
          <w:sz w:val="24"/>
          <w:rtl/>
        </w:rPr>
        <w:t xml:space="preserve">המדינה בפרשת </w:t>
      </w:r>
      <w:proofErr w:type="spellStart"/>
      <w:r w:rsidR="00933450" w:rsidRPr="00106D3A">
        <w:rPr>
          <w:rFonts w:hint="cs"/>
          <w:sz w:val="24"/>
          <w:rtl/>
        </w:rPr>
        <w:t>הנדלמן</w:t>
      </w:r>
      <w:proofErr w:type="spellEnd"/>
      <w:r w:rsidR="00AF3B08">
        <w:rPr>
          <w:rFonts w:hint="cs"/>
          <w:sz w:val="24"/>
          <w:rtl/>
        </w:rPr>
        <w:t>, וקיימות</w:t>
      </w:r>
      <w:r w:rsidR="00990633">
        <w:rPr>
          <w:rFonts w:hint="cs"/>
          <w:sz w:val="24"/>
          <w:rtl/>
        </w:rPr>
        <w:t xml:space="preserve"> ראיות </w:t>
      </w:r>
      <w:r w:rsidR="00AF3B08">
        <w:rPr>
          <w:rFonts w:hint="cs"/>
          <w:sz w:val="24"/>
          <w:rtl/>
        </w:rPr>
        <w:t>לכך שזו דרכה של המדינה גם בענפים אחרים של המשפט הציבורי, למשל בתחום ההגירה.</w:t>
      </w:r>
      <w:r w:rsidR="00443CDA">
        <w:rPr>
          <w:rStyle w:val="FootnoteReference"/>
          <w:sz w:val="24"/>
          <w:rtl/>
        </w:rPr>
        <w:footnoteReference w:id="112"/>
      </w:r>
      <w:r w:rsidR="00AF3B08">
        <w:rPr>
          <w:rFonts w:hint="cs"/>
          <w:sz w:val="24"/>
          <w:rtl/>
        </w:rPr>
        <w:t xml:space="preserve"> </w:t>
      </w:r>
      <w:r w:rsidR="00DB4069" w:rsidRPr="00106D3A">
        <w:rPr>
          <w:rFonts w:hint="cs"/>
          <w:sz w:val="24"/>
          <w:rtl/>
        </w:rPr>
        <w:t xml:space="preserve">בדרך זו מונעת למעשה המדינה את האפשרות שביטול החוק בערכאת הדיון יהפוך לתקדים בערכאת הערעור. </w:t>
      </w:r>
    </w:p>
    <w:p w:rsidR="00F20CA4" w:rsidRPr="00106D3A" w:rsidRDefault="00FF2E1E" w:rsidP="00B52C11">
      <w:pPr>
        <w:ind w:firstLine="720"/>
        <w:jc w:val="both"/>
        <w:rPr>
          <w:sz w:val="24"/>
          <w:rtl/>
        </w:rPr>
      </w:pPr>
      <w:r w:rsidRPr="00106D3A">
        <w:rPr>
          <w:rFonts w:hint="cs"/>
          <w:sz w:val="24"/>
          <w:rtl/>
        </w:rPr>
        <w:t xml:space="preserve">אם לעומת זאת ערכאת הדיון דחתה את הטענה לביקורת שיפוטית וקבעה שהחוק תקף, המדינה לא </w:t>
      </w:r>
      <w:r w:rsidR="004E0246" w:rsidRPr="00106D3A">
        <w:rPr>
          <w:rFonts w:hint="cs"/>
          <w:sz w:val="24"/>
          <w:rtl/>
        </w:rPr>
        <w:t xml:space="preserve">תוכל </w:t>
      </w:r>
      <w:r w:rsidR="00B52C11" w:rsidRPr="00106D3A">
        <w:rPr>
          <w:rFonts w:hint="cs"/>
          <w:sz w:val="24"/>
          <w:rtl/>
        </w:rPr>
        <w:t>ל</w:t>
      </w:r>
      <w:r w:rsidRPr="00106D3A">
        <w:rPr>
          <w:rFonts w:hint="cs"/>
          <w:sz w:val="24"/>
          <w:rtl/>
        </w:rPr>
        <w:t xml:space="preserve">ערער. </w:t>
      </w:r>
      <w:r w:rsidR="00AF0BFB" w:rsidRPr="00106D3A">
        <w:rPr>
          <w:rFonts w:hint="cs"/>
          <w:sz w:val="24"/>
          <w:rtl/>
        </w:rPr>
        <w:t xml:space="preserve">הפעם בעל הדין שהפסיד בטענה החוקתית הוא שעשוי לערער. </w:t>
      </w:r>
      <w:r w:rsidR="00817CC2" w:rsidRPr="00106D3A">
        <w:rPr>
          <w:rFonts w:hint="cs"/>
          <w:sz w:val="24"/>
          <w:rtl/>
        </w:rPr>
        <w:t xml:space="preserve">אלא שגם כאן למדינה יש יכולת למניפולציה אסטרטגית: </w:t>
      </w:r>
      <w:r w:rsidR="008F0AF4" w:rsidRPr="00106D3A">
        <w:rPr>
          <w:rFonts w:hint="cs"/>
          <w:sz w:val="24"/>
          <w:rtl/>
        </w:rPr>
        <w:t>אם היא סבורה שסיכויי הערעור של בעל הדין נמוכים, היא תטען בערעור בציפייה לניצחון ולעיגון תקדימי של הישגה</w:t>
      </w:r>
      <w:r w:rsidR="00227B98" w:rsidRPr="00106D3A">
        <w:rPr>
          <w:rFonts w:hint="cs"/>
          <w:sz w:val="24"/>
          <w:rtl/>
        </w:rPr>
        <w:t>ּ</w:t>
      </w:r>
      <w:r w:rsidR="008F0AF4" w:rsidRPr="00106D3A">
        <w:rPr>
          <w:rFonts w:hint="cs"/>
          <w:sz w:val="24"/>
          <w:rtl/>
        </w:rPr>
        <w:t xml:space="preserve"> מערכאת הדיון. </w:t>
      </w:r>
      <w:r w:rsidR="00732618" w:rsidRPr="00106D3A">
        <w:rPr>
          <w:rFonts w:hint="cs"/>
          <w:sz w:val="24"/>
          <w:rtl/>
        </w:rPr>
        <w:t>אם, לעומת זאת, המדינה חוששת שהטענה החוקתית היא בעלת סיכוי טוב בערעור, הרי שבכוחה לסגת</w:t>
      </w:r>
      <w:r w:rsidR="00227B98" w:rsidRPr="00106D3A">
        <w:rPr>
          <w:rFonts w:hint="cs"/>
          <w:sz w:val="24"/>
          <w:rtl/>
        </w:rPr>
        <w:t xml:space="preserve"> גם בשלב זה</w:t>
      </w:r>
      <w:r w:rsidR="00732618" w:rsidRPr="00106D3A">
        <w:rPr>
          <w:rFonts w:hint="cs"/>
          <w:sz w:val="24"/>
          <w:rtl/>
        </w:rPr>
        <w:t xml:space="preserve"> </w:t>
      </w:r>
      <w:r w:rsidR="00732618" w:rsidRPr="00106D3A">
        <w:rPr>
          <w:sz w:val="24"/>
          <w:rtl/>
        </w:rPr>
        <w:t>–</w:t>
      </w:r>
      <w:r w:rsidR="00732618" w:rsidRPr="00106D3A">
        <w:rPr>
          <w:rFonts w:hint="cs"/>
          <w:sz w:val="24"/>
          <w:rtl/>
        </w:rPr>
        <w:t xml:space="preserve"> אחרי מתן פסק הדין בערכאת הדיון </w:t>
      </w:r>
      <w:r w:rsidR="00732618" w:rsidRPr="00106D3A">
        <w:rPr>
          <w:sz w:val="24"/>
          <w:rtl/>
        </w:rPr>
        <w:t>–</w:t>
      </w:r>
      <w:r w:rsidR="00732618" w:rsidRPr="00106D3A">
        <w:rPr>
          <w:rFonts w:hint="cs"/>
          <w:sz w:val="24"/>
          <w:rtl/>
        </w:rPr>
        <w:t xml:space="preserve"> מעמדתה המקורית, להקנות לבעל הדין את הזכות שנשללה ממנו (כדין, לפי קביעתה של ערכאת הדיון), ובדרך זו </w:t>
      </w:r>
      <w:r w:rsidR="009F714D" w:rsidRPr="00106D3A">
        <w:rPr>
          <w:rFonts w:hint="cs"/>
          <w:sz w:val="24"/>
          <w:rtl/>
        </w:rPr>
        <w:t xml:space="preserve">לבטל </w:t>
      </w:r>
      <w:r w:rsidR="00732618" w:rsidRPr="00106D3A">
        <w:rPr>
          <w:rFonts w:hint="cs"/>
          <w:sz w:val="24"/>
          <w:rtl/>
        </w:rPr>
        <w:t xml:space="preserve">את אפשרות הערעור. </w:t>
      </w:r>
    </w:p>
    <w:p w:rsidR="00F20CA4" w:rsidRPr="00106D3A" w:rsidRDefault="00046557" w:rsidP="003B0D18">
      <w:pPr>
        <w:ind w:firstLine="720"/>
        <w:jc w:val="both"/>
        <w:rPr>
          <w:sz w:val="24"/>
          <w:rtl/>
        </w:rPr>
      </w:pPr>
      <w:r w:rsidRPr="00106D3A">
        <w:rPr>
          <w:rFonts w:hint="cs"/>
          <w:sz w:val="24"/>
          <w:rtl/>
        </w:rPr>
        <w:t xml:space="preserve">לפי </w:t>
      </w:r>
      <w:r w:rsidR="009F73B5" w:rsidRPr="00106D3A">
        <w:rPr>
          <w:rFonts w:hint="cs"/>
          <w:sz w:val="24"/>
          <w:rtl/>
        </w:rPr>
        <w:t xml:space="preserve">ניתוח </w:t>
      </w:r>
      <w:r w:rsidRPr="00106D3A">
        <w:rPr>
          <w:rFonts w:hint="cs"/>
          <w:sz w:val="24"/>
          <w:rtl/>
        </w:rPr>
        <w:t xml:space="preserve">זה, בשיטה הביזורית המדינה היא זו שתמיד תקבע האם </w:t>
      </w:r>
      <w:r w:rsidR="009F73B5" w:rsidRPr="00106D3A">
        <w:rPr>
          <w:rFonts w:hint="cs"/>
          <w:sz w:val="24"/>
          <w:rtl/>
        </w:rPr>
        <w:t xml:space="preserve">ומתי תיקים חוקתיים יגיעו </w:t>
      </w:r>
      <w:r w:rsidR="00387220">
        <w:rPr>
          <w:rFonts w:hint="cs"/>
          <w:sz w:val="24"/>
          <w:rtl/>
        </w:rPr>
        <w:t>א</w:t>
      </w:r>
      <w:r w:rsidR="00867FF7" w:rsidRPr="00106D3A">
        <w:rPr>
          <w:rFonts w:hint="cs"/>
          <w:sz w:val="24"/>
          <w:rtl/>
        </w:rPr>
        <w:t>ל ערכאות הערעור ואל בית המשפט העליון</w:t>
      </w:r>
      <w:r w:rsidR="00F20CA4" w:rsidRPr="00106D3A">
        <w:rPr>
          <w:rFonts w:hint="cs"/>
          <w:sz w:val="24"/>
          <w:rtl/>
        </w:rPr>
        <w:t xml:space="preserve">. אם זה כך, הרי שהדרך היחידה לכאורה של יחידים להביא שאלות חוקתיות עד לבית המשפט העליון הינה ניהול כמות גדולה מספיק של תיקים, עד כדי כך שתיווצר "מסה קריטית" של החלטות חוקתיות </w:t>
      </w:r>
      <w:r w:rsidR="00E3415F" w:rsidRPr="00106D3A">
        <w:rPr>
          <w:rFonts w:hint="cs"/>
          <w:sz w:val="24"/>
          <w:rtl/>
        </w:rPr>
        <w:t xml:space="preserve">שיגרמו </w:t>
      </w:r>
      <w:r w:rsidR="00F20CA4" w:rsidRPr="00106D3A">
        <w:rPr>
          <w:rFonts w:hint="cs"/>
          <w:sz w:val="24"/>
          <w:rtl/>
        </w:rPr>
        <w:t xml:space="preserve">בסופו של דבר </w:t>
      </w:r>
      <w:r w:rsidR="00E3415F" w:rsidRPr="00106D3A">
        <w:rPr>
          <w:rFonts w:hint="cs"/>
          <w:sz w:val="24"/>
          <w:rtl/>
        </w:rPr>
        <w:t>ל</w:t>
      </w:r>
      <w:r w:rsidR="00F20CA4" w:rsidRPr="00106D3A">
        <w:rPr>
          <w:rFonts w:hint="cs"/>
          <w:sz w:val="24"/>
          <w:rtl/>
        </w:rPr>
        <w:t xml:space="preserve">מדינה </w:t>
      </w:r>
      <w:r w:rsidR="00E3415F" w:rsidRPr="00106D3A">
        <w:rPr>
          <w:rFonts w:hint="cs"/>
          <w:sz w:val="24"/>
          <w:rtl/>
        </w:rPr>
        <w:t xml:space="preserve">לבקש גם כן הכרעה סופית-תקדימית לכאן או לכאן. </w:t>
      </w:r>
      <w:r w:rsidR="008007CC" w:rsidRPr="00106D3A">
        <w:rPr>
          <w:rFonts w:hint="cs"/>
          <w:sz w:val="24"/>
          <w:rtl/>
        </w:rPr>
        <w:t xml:space="preserve">אלא שניהול של תיקים מרובים אינו רלוונטי לנפגעים פרטיים (שבהגדרה מעוניינים רק בהליך שלהם), והוא </w:t>
      </w:r>
      <w:r w:rsidR="007D456F" w:rsidRPr="00106D3A">
        <w:rPr>
          <w:rFonts w:hint="cs"/>
          <w:sz w:val="24"/>
          <w:rtl/>
        </w:rPr>
        <w:t xml:space="preserve">נטל </w:t>
      </w:r>
      <w:r w:rsidR="008007CC" w:rsidRPr="00106D3A">
        <w:rPr>
          <w:rFonts w:hint="cs"/>
          <w:sz w:val="24"/>
          <w:rtl/>
        </w:rPr>
        <w:t>מכביד מ</w:t>
      </w:r>
      <w:r w:rsidR="007D456F" w:rsidRPr="00106D3A">
        <w:rPr>
          <w:rFonts w:hint="cs"/>
          <w:sz w:val="24"/>
          <w:rtl/>
        </w:rPr>
        <w:t xml:space="preserve">אוד מבחינה כלכלית גם על ארגוני חברה אזרחית </w:t>
      </w:r>
      <w:r w:rsidR="005375DE" w:rsidRPr="00106D3A">
        <w:rPr>
          <w:rFonts w:hint="cs"/>
          <w:sz w:val="24"/>
          <w:rtl/>
        </w:rPr>
        <w:t xml:space="preserve">שמעורבים </w:t>
      </w:r>
      <w:proofErr w:type="spellStart"/>
      <w:r w:rsidR="005375DE" w:rsidRPr="00106D3A">
        <w:rPr>
          <w:rFonts w:hint="cs"/>
          <w:sz w:val="24"/>
          <w:rtl/>
        </w:rPr>
        <w:t>בליטיגציות</w:t>
      </w:r>
      <w:proofErr w:type="spellEnd"/>
      <w:r w:rsidR="005375DE" w:rsidRPr="00106D3A">
        <w:rPr>
          <w:rFonts w:hint="cs"/>
          <w:sz w:val="24"/>
          <w:rtl/>
        </w:rPr>
        <w:t xml:space="preserve"> רבות.</w:t>
      </w:r>
      <w:r w:rsidR="002B3642" w:rsidRPr="00106D3A">
        <w:rPr>
          <w:rFonts w:hint="cs"/>
          <w:sz w:val="24"/>
          <w:rtl/>
        </w:rPr>
        <w:t xml:space="preserve"> אכן אין זה מפתיע שארגוני זכויות אדם משקיעים את עיקר מרצם בתחום החוקתי בעתירות ישירות לבג"ץ ולא בייצוג בעלי דין עם טענות חוקתיות בערכאות הדיון השונות. </w:t>
      </w:r>
      <w:r w:rsidR="003B0D18">
        <w:rPr>
          <w:rFonts w:hint="cs"/>
          <w:sz w:val="24"/>
          <w:rtl/>
        </w:rPr>
        <w:t xml:space="preserve">בוודאי </w:t>
      </w:r>
      <w:r w:rsidR="006079E3" w:rsidRPr="00106D3A">
        <w:rPr>
          <w:rFonts w:hint="cs"/>
          <w:sz w:val="24"/>
          <w:rtl/>
        </w:rPr>
        <w:t xml:space="preserve">בהינתן סיכוייה הנמוכים של טענה חוקתית בערכאות הדיון כיום, ההשקעה </w:t>
      </w:r>
      <w:r w:rsidR="003B1607" w:rsidRPr="00106D3A">
        <w:rPr>
          <w:rFonts w:hint="cs"/>
          <w:sz w:val="24"/>
          <w:rtl/>
        </w:rPr>
        <w:t xml:space="preserve">בהליכים </w:t>
      </w:r>
      <w:r w:rsidR="00BD3D85" w:rsidRPr="00106D3A">
        <w:rPr>
          <w:rFonts w:hint="cs"/>
          <w:sz w:val="24"/>
          <w:rtl/>
        </w:rPr>
        <w:t xml:space="preserve">"מצטברים" </w:t>
      </w:r>
      <w:r w:rsidR="003B1607" w:rsidRPr="00106D3A">
        <w:rPr>
          <w:rFonts w:hint="cs"/>
          <w:sz w:val="24"/>
          <w:rtl/>
        </w:rPr>
        <w:t>אלה אינה משתלמת כלל לארגון שמשאבי ההתדיינות שלו מוגבלים</w:t>
      </w:r>
      <w:r w:rsidR="00AA7D41" w:rsidRPr="00106D3A">
        <w:rPr>
          <w:rFonts w:hint="cs"/>
          <w:sz w:val="24"/>
          <w:rtl/>
        </w:rPr>
        <w:t xml:space="preserve">, בעוד הליך אחד לבג"ץ שעלותו ההשוואתית זניחה יכול לשנות באחת </w:t>
      </w:r>
      <w:r w:rsidR="00E54F3B" w:rsidRPr="00106D3A">
        <w:rPr>
          <w:rFonts w:hint="cs"/>
          <w:sz w:val="24"/>
          <w:rtl/>
        </w:rPr>
        <w:t>הסדר חוקתי שלם.</w:t>
      </w:r>
      <w:r w:rsidR="003B1607" w:rsidRPr="00106D3A">
        <w:rPr>
          <w:rFonts w:hint="cs"/>
          <w:sz w:val="24"/>
          <w:rtl/>
        </w:rPr>
        <w:t xml:space="preserve"> </w:t>
      </w:r>
      <w:r w:rsidR="00FF4BAF" w:rsidRPr="00106D3A">
        <w:rPr>
          <w:rFonts w:hint="cs"/>
          <w:sz w:val="24"/>
          <w:rtl/>
        </w:rPr>
        <w:t>לעומ</w:t>
      </w:r>
      <w:r w:rsidR="00B52C11" w:rsidRPr="00106D3A">
        <w:rPr>
          <w:rFonts w:hint="cs"/>
          <w:sz w:val="24"/>
          <w:rtl/>
        </w:rPr>
        <w:t>ת</w:t>
      </w:r>
      <w:r w:rsidR="00FF4BAF" w:rsidRPr="00106D3A">
        <w:rPr>
          <w:rFonts w:hint="cs"/>
          <w:sz w:val="24"/>
          <w:rtl/>
        </w:rPr>
        <w:t xml:space="preserve">ם, </w:t>
      </w:r>
      <w:r w:rsidR="00BF55BE" w:rsidRPr="00106D3A">
        <w:rPr>
          <w:rFonts w:hint="cs"/>
          <w:sz w:val="24"/>
          <w:rtl/>
        </w:rPr>
        <w:t>ה</w:t>
      </w:r>
      <w:r w:rsidR="00551F3E" w:rsidRPr="00106D3A">
        <w:rPr>
          <w:rFonts w:hint="cs"/>
          <w:sz w:val="24"/>
          <w:rtl/>
        </w:rPr>
        <w:t xml:space="preserve">מדינה </w:t>
      </w:r>
      <w:r w:rsidR="00BF55BE" w:rsidRPr="00106D3A">
        <w:rPr>
          <w:rFonts w:hint="cs"/>
          <w:sz w:val="24"/>
          <w:rtl/>
        </w:rPr>
        <w:t>כבעלת דין</w:t>
      </w:r>
      <w:r w:rsidR="00FF4BAF" w:rsidRPr="00106D3A">
        <w:rPr>
          <w:rFonts w:hint="cs"/>
          <w:sz w:val="24"/>
          <w:rtl/>
        </w:rPr>
        <w:t xml:space="preserve"> </w:t>
      </w:r>
      <w:r w:rsidR="00EF566D" w:rsidRPr="00106D3A">
        <w:rPr>
          <w:sz w:val="24"/>
          <w:rtl/>
        </w:rPr>
        <w:t>–</w:t>
      </w:r>
      <w:r w:rsidR="00EF566D" w:rsidRPr="00106D3A">
        <w:rPr>
          <w:rFonts w:hint="cs"/>
          <w:sz w:val="24"/>
          <w:rtl/>
        </w:rPr>
        <w:t xml:space="preserve"> שלרשותה "צבא" של פרקליטים </w:t>
      </w:r>
      <w:r w:rsidR="00893728" w:rsidRPr="00106D3A">
        <w:rPr>
          <w:rFonts w:hint="cs"/>
          <w:sz w:val="24"/>
          <w:rtl/>
        </w:rPr>
        <w:t xml:space="preserve">מיומנים שתגמולם </w:t>
      </w:r>
      <w:r w:rsidR="00D83489" w:rsidRPr="00106D3A">
        <w:rPr>
          <w:rFonts w:hint="cs"/>
          <w:sz w:val="24"/>
          <w:rtl/>
        </w:rPr>
        <w:t xml:space="preserve">אינו מותנה בכמות התיקים עליהם הם עובדים </w:t>
      </w:r>
      <w:r w:rsidR="00D83489" w:rsidRPr="00106D3A">
        <w:rPr>
          <w:sz w:val="24"/>
          <w:rtl/>
        </w:rPr>
        <w:t>–</w:t>
      </w:r>
      <w:r w:rsidR="00D83489" w:rsidRPr="00106D3A">
        <w:rPr>
          <w:rFonts w:hint="cs"/>
          <w:sz w:val="24"/>
          <w:rtl/>
        </w:rPr>
        <w:t xml:space="preserve"> </w:t>
      </w:r>
      <w:r w:rsidR="00551F3E" w:rsidRPr="00106D3A">
        <w:rPr>
          <w:rFonts w:hint="cs"/>
          <w:sz w:val="24"/>
          <w:rtl/>
        </w:rPr>
        <w:t xml:space="preserve">נהנית מיתרונות מובהקים לגודל </w:t>
      </w:r>
      <w:r w:rsidR="00EF566D" w:rsidRPr="00106D3A">
        <w:rPr>
          <w:rFonts w:hint="cs"/>
          <w:sz w:val="24"/>
          <w:rtl/>
        </w:rPr>
        <w:t>ומעלות שולית נ</w:t>
      </w:r>
      <w:r w:rsidR="00F10D03" w:rsidRPr="00106D3A">
        <w:rPr>
          <w:rFonts w:hint="cs"/>
          <w:sz w:val="24"/>
          <w:rtl/>
        </w:rPr>
        <w:t xml:space="preserve">מוכה ביותר בניהול כל הליך והליך. מכאן שגם הצורך לנהל </w:t>
      </w:r>
      <w:r w:rsidR="00F10D03" w:rsidRPr="00106D3A">
        <w:rPr>
          <w:rFonts w:hint="cs"/>
          <w:sz w:val="24"/>
          <w:rtl/>
        </w:rPr>
        <w:lastRenderedPageBreak/>
        <w:t>הליכים רבי</w:t>
      </w:r>
      <w:r w:rsidR="00067B49" w:rsidRPr="00106D3A">
        <w:rPr>
          <w:rFonts w:hint="cs"/>
          <w:sz w:val="24"/>
          <w:rtl/>
        </w:rPr>
        <w:t xml:space="preserve">ם הופך את השיטה הביזורית לשיטה </w:t>
      </w:r>
      <w:r w:rsidR="00F10D03" w:rsidRPr="00106D3A">
        <w:rPr>
          <w:rFonts w:hint="cs"/>
          <w:sz w:val="24"/>
          <w:rtl/>
        </w:rPr>
        <w:t xml:space="preserve">מוטה </w:t>
      </w:r>
      <w:r w:rsidR="00D55A5F" w:rsidRPr="00106D3A">
        <w:rPr>
          <w:rFonts w:hint="cs"/>
          <w:sz w:val="24"/>
          <w:rtl/>
        </w:rPr>
        <w:t>נגד עותרים "</w:t>
      </w:r>
      <w:r w:rsidR="00C215E9" w:rsidRPr="00106D3A">
        <w:rPr>
          <w:rFonts w:hint="cs"/>
          <w:sz w:val="24"/>
          <w:rtl/>
        </w:rPr>
        <w:t>קטנים</w:t>
      </w:r>
      <w:r w:rsidR="00D55A5F" w:rsidRPr="00106D3A">
        <w:rPr>
          <w:rFonts w:hint="cs"/>
          <w:sz w:val="24"/>
          <w:rtl/>
        </w:rPr>
        <w:t>" ו</w:t>
      </w:r>
      <w:r w:rsidR="00F10D03" w:rsidRPr="00106D3A">
        <w:rPr>
          <w:rFonts w:hint="cs"/>
          <w:sz w:val="24"/>
          <w:rtl/>
        </w:rPr>
        <w:t xml:space="preserve">לטובת משיבים </w:t>
      </w:r>
      <w:r w:rsidR="00D55A5F" w:rsidRPr="00106D3A">
        <w:rPr>
          <w:rFonts w:hint="cs"/>
          <w:sz w:val="24"/>
          <w:rtl/>
        </w:rPr>
        <w:t>"גדולים"</w:t>
      </w:r>
      <w:r w:rsidR="00F10D03" w:rsidRPr="00106D3A">
        <w:rPr>
          <w:rFonts w:hint="cs"/>
          <w:sz w:val="24"/>
          <w:rtl/>
        </w:rPr>
        <w:t xml:space="preserve">. </w:t>
      </w:r>
    </w:p>
    <w:p w:rsidR="00E91755" w:rsidRPr="00106D3A" w:rsidRDefault="00E91755" w:rsidP="001F0BEA">
      <w:pPr>
        <w:ind w:firstLine="720"/>
        <w:jc w:val="both"/>
        <w:rPr>
          <w:sz w:val="24"/>
          <w:rtl/>
        </w:rPr>
      </w:pPr>
      <w:r w:rsidRPr="00106D3A">
        <w:rPr>
          <w:rFonts w:hint="cs"/>
          <w:sz w:val="24"/>
          <w:rtl/>
        </w:rPr>
        <w:t>יש להבהיר ראשית את גבולותי</w:t>
      </w:r>
      <w:r w:rsidR="00637F51" w:rsidRPr="00106D3A">
        <w:rPr>
          <w:rFonts w:hint="cs"/>
          <w:sz w:val="24"/>
          <w:rtl/>
        </w:rPr>
        <w:t xml:space="preserve">ו של הטיעון הזה: הוא רלוונטי </w:t>
      </w:r>
      <w:r w:rsidRPr="00106D3A">
        <w:rPr>
          <w:rFonts w:hint="cs"/>
          <w:sz w:val="24"/>
          <w:rtl/>
        </w:rPr>
        <w:t xml:space="preserve">רק לאותם מקרים בהם הטענה החוקתית מועלית בהליך שהמדינה צד לו. היות שבערכאות הדיון רבות מהטענות החוקתיות מועלות בתקיפה עקיפה, הדבר יכול להתרחש גם בהליכים אזרחיים בין צדדים פרטיים, כאשר אחד מהם טוען לאי-חוקתיות של החוק שבשמו טוען בעל הדין שכנגד. במקרים אלה המדינה נמצאת ברקע הסכסוך כיוצרת הנורמה השנויה במחלוקת, אך היא אינה צד מובנה </w:t>
      </w:r>
      <w:r w:rsidR="001C2E59">
        <w:rPr>
          <w:rFonts w:hint="cs"/>
          <w:sz w:val="24"/>
          <w:rtl/>
        </w:rPr>
        <w:t>בהליך</w:t>
      </w:r>
      <w:r w:rsidRPr="00106D3A">
        <w:rPr>
          <w:rFonts w:hint="cs"/>
          <w:sz w:val="24"/>
          <w:rtl/>
        </w:rPr>
        <w:t xml:space="preserve">, ולכן אין לה שליטה על בחירת התיקים שיטפסו במעלות הערעור. כזכור זה היה המצב, בין היתר, בעניין בנק המזרחי המקורי, שהיה בבסיסו סכסוך חוזי בין נושים בנקאיים </w:t>
      </w:r>
      <w:r w:rsidR="001F0BEA">
        <w:rPr>
          <w:rFonts w:hint="cs"/>
          <w:sz w:val="24"/>
          <w:rtl/>
        </w:rPr>
        <w:t>ו</w:t>
      </w:r>
      <w:r w:rsidRPr="00106D3A">
        <w:rPr>
          <w:rFonts w:hint="cs"/>
          <w:sz w:val="24"/>
          <w:rtl/>
        </w:rPr>
        <w:t>לווים</w:t>
      </w:r>
      <w:r w:rsidR="001F0BEA">
        <w:rPr>
          <w:rFonts w:hint="cs"/>
          <w:sz w:val="24"/>
          <w:rtl/>
        </w:rPr>
        <w:t xml:space="preserve"> פרטיים (שנהנו מחוק מיטיב)</w:t>
      </w:r>
      <w:r w:rsidRPr="00106D3A">
        <w:rPr>
          <w:rFonts w:hint="cs"/>
          <w:sz w:val="24"/>
          <w:rtl/>
        </w:rPr>
        <w:t>. במצבים כאלה, שני הצדדים הם באופן טיפוסי שחקנים חד-פעמיים שגורל ההליך המסוים משמעותי עבורם, ולכן קיים בהם חשש פחוּת מהטיה חלוקתית</w:t>
      </w:r>
      <w:r w:rsidR="00757F9A" w:rsidRPr="00106D3A">
        <w:rPr>
          <w:rFonts w:hint="cs"/>
          <w:sz w:val="24"/>
          <w:rtl/>
        </w:rPr>
        <w:t xml:space="preserve"> טבועה </w:t>
      </w:r>
      <w:r w:rsidRPr="00106D3A">
        <w:rPr>
          <w:rFonts w:hint="cs"/>
          <w:sz w:val="24"/>
          <w:rtl/>
        </w:rPr>
        <w:t>של ההליך לטובת הצד המגן על חוקתיות החוק.</w:t>
      </w:r>
    </w:p>
    <w:p w:rsidR="008A3E9B" w:rsidRPr="00106D3A" w:rsidRDefault="00E91755" w:rsidP="00637F51">
      <w:pPr>
        <w:ind w:firstLine="720"/>
        <w:jc w:val="both"/>
        <w:rPr>
          <w:sz w:val="24"/>
          <w:rtl/>
        </w:rPr>
      </w:pPr>
      <w:r w:rsidRPr="00106D3A">
        <w:rPr>
          <w:rFonts w:hint="cs"/>
          <w:sz w:val="24"/>
          <w:rtl/>
        </w:rPr>
        <w:t xml:space="preserve">יחד עם זאת, </w:t>
      </w:r>
      <w:r w:rsidR="00637F51" w:rsidRPr="00106D3A">
        <w:rPr>
          <w:rFonts w:hint="cs"/>
          <w:sz w:val="24"/>
          <w:rtl/>
        </w:rPr>
        <w:t>הביקורת החלוקתית היא עדיין משמעותית בנסיבות רבות, ו</w:t>
      </w:r>
      <w:r w:rsidR="00556335" w:rsidRPr="00106D3A">
        <w:rPr>
          <w:rFonts w:hint="cs"/>
          <w:sz w:val="24"/>
          <w:rtl/>
        </w:rPr>
        <w:t xml:space="preserve">למודל הביזורי </w:t>
      </w:r>
      <w:r w:rsidR="00637F51" w:rsidRPr="00106D3A">
        <w:rPr>
          <w:rFonts w:hint="cs"/>
          <w:sz w:val="24"/>
          <w:rtl/>
        </w:rPr>
        <w:t xml:space="preserve">אין </w:t>
      </w:r>
      <w:r w:rsidR="00556335" w:rsidRPr="00106D3A">
        <w:rPr>
          <w:rFonts w:hint="cs"/>
          <w:sz w:val="24"/>
          <w:rtl/>
        </w:rPr>
        <w:t>מענה מלא עבורה. בניגוד לביקור</w:t>
      </w:r>
      <w:r w:rsidR="00FA7DD2" w:rsidRPr="00106D3A">
        <w:rPr>
          <w:rFonts w:hint="cs"/>
          <w:sz w:val="24"/>
          <w:rtl/>
        </w:rPr>
        <w:t>ו</w:t>
      </w:r>
      <w:r w:rsidR="00556335" w:rsidRPr="00106D3A">
        <w:rPr>
          <w:rFonts w:hint="cs"/>
          <w:sz w:val="24"/>
          <w:rtl/>
        </w:rPr>
        <w:t>ת הקודמות שנדונו, זו גם ביקורת שנוגעת באופן מיוחד</w:t>
      </w:r>
      <w:r w:rsidR="00240484" w:rsidRPr="00106D3A">
        <w:rPr>
          <w:rFonts w:hint="cs"/>
          <w:sz w:val="24"/>
          <w:rtl/>
        </w:rPr>
        <w:t xml:space="preserve"> לתחום החוקתי, שכן תחום זה עוסק במקרים רבים בטענות להפרה מדינתית של זכו</w:t>
      </w:r>
      <w:r w:rsidR="00295AED" w:rsidRPr="00106D3A">
        <w:rPr>
          <w:rFonts w:hint="cs"/>
          <w:sz w:val="24"/>
          <w:rtl/>
        </w:rPr>
        <w:t>יו</w:t>
      </w:r>
      <w:r w:rsidR="00240484" w:rsidRPr="00106D3A">
        <w:rPr>
          <w:rFonts w:hint="cs"/>
          <w:sz w:val="24"/>
          <w:rtl/>
        </w:rPr>
        <w:t xml:space="preserve">ת </w:t>
      </w:r>
      <w:r w:rsidR="00B52C11" w:rsidRPr="00106D3A">
        <w:rPr>
          <w:rFonts w:hint="cs"/>
          <w:sz w:val="24"/>
          <w:rtl/>
        </w:rPr>
        <w:t xml:space="preserve">הפרט </w:t>
      </w:r>
      <w:r w:rsidR="00240484" w:rsidRPr="00106D3A">
        <w:rPr>
          <w:rFonts w:hint="cs"/>
          <w:sz w:val="24"/>
          <w:rtl/>
        </w:rPr>
        <w:t xml:space="preserve">ולכן קיים בו </w:t>
      </w:r>
      <w:r w:rsidR="00637F51" w:rsidRPr="00106D3A">
        <w:rPr>
          <w:rFonts w:hint="cs"/>
          <w:sz w:val="24"/>
          <w:rtl/>
        </w:rPr>
        <w:t xml:space="preserve">באופן תדיר </w:t>
      </w:r>
      <w:r w:rsidR="007B5C3E" w:rsidRPr="00106D3A">
        <w:rPr>
          <w:rFonts w:hint="cs"/>
          <w:sz w:val="24"/>
          <w:rtl/>
        </w:rPr>
        <w:t xml:space="preserve">פער </w:t>
      </w:r>
      <w:r w:rsidR="00240484" w:rsidRPr="00106D3A">
        <w:rPr>
          <w:rFonts w:hint="cs"/>
          <w:sz w:val="24"/>
          <w:rtl/>
        </w:rPr>
        <w:t xml:space="preserve">כוחות מובנה בין הצד הטוען לביקורת שיפוטית לבין הצד המתנגד לה. </w:t>
      </w:r>
    </w:p>
    <w:p w:rsidR="00EF00A6" w:rsidRPr="00106D3A" w:rsidRDefault="005C2145" w:rsidP="00672819">
      <w:pPr>
        <w:ind w:firstLine="720"/>
        <w:jc w:val="both"/>
        <w:rPr>
          <w:sz w:val="24"/>
          <w:rtl/>
        </w:rPr>
      </w:pPr>
      <w:r w:rsidRPr="00106D3A">
        <w:rPr>
          <w:rFonts w:hint="cs"/>
          <w:sz w:val="24"/>
          <w:rtl/>
        </w:rPr>
        <w:t xml:space="preserve">תשובה חלקית לביקורת זו עשויה לבוא מכיוון המשפט המנהלי וחובות ההגינות המוטלות על המדינה בהתנהלותה </w:t>
      </w:r>
      <w:r w:rsidR="00CE5180" w:rsidRPr="00106D3A">
        <w:rPr>
          <w:rFonts w:hint="cs"/>
          <w:sz w:val="24"/>
          <w:rtl/>
        </w:rPr>
        <w:t>כבעלת דין: ניתן לתהות האם התנהלות אסטרטגית מן הסוג שתואר</w:t>
      </w:r>
      <w:r w:rsidR="000A77DF" w:rsidRPr="00106D3A">
        <w:rPr>
          <w:rFonts w:hint="cs"/>
          <w:sz w:val="24"/>
          <w:rtl/>
        </w:rPr>
        <w:t>, שבבסיסה התייחסות שונה למקרים דומים,</w:t>
      </w:r>
      <w:r w:rsidR="00CE5180" w:rsidRPr="00106D3A">
        <w:rPr>
          <w:rFonts w:hint="cs"/>
          <w:sz w:val="24"/>
          <w:rtl/>
        </w:rPr>
        <w:t xml:space="preserve"> </w:t>
      </w:r>
      <w:r w:rsidR="00937684" w:rsidRPr="00106D3A">
        <w:rPr>
          <w:rFonts w:hint="cs"/>
          <w:sz w:val="24"/>
          <w:rtl/>
        </w:rPr>
        <w:t xml:space="preserve">יכולה להיחשב פרקטיקה שלטונית </w:t>
      </w:r>
      <w:r w:rsidR="00A94333" w:rsidRPr="00106D3A">
        <w:rPr>
          <w:rFonts w:hint="cs"/>
          <w:sz w:val="24"/>
          <w:rtl/>
        </w:rPr>
        <w:t xml:space="preserve">סבירה. </w:t>
      </w:r>
      <w:r w:rsidR="004F74D9" w:rsidRPr="00106D3A">
        <w:rPr>
          <w:rFonts w:hint="cs"/>
          <w:sz w:val="24"/>
          <w:rtl/>
        </w:rPr>
        <w:t xml:space="preserve">אף שהצעתי לעיל לדחות את טיעון השוויון בכל הנוגע לתוצאות </w:t>
      </w:r>
      <w:r w:rsidR="004F74D9" w:rsidRPr="00742B5D">
        <w:rPr>
          <w:rFonts w:hint="cs"/>
          <w:b/>
          <w:bCs/>
          <w:sz w:val="24"/>
          <w:rtl/>
        </w:rPr>
        <w:t>שיפוטיות</w:t>
      </w:r>
      <w:r w:rsidR="004F74D9" w:rsidRPr="00106D3A">
        <w:rPr>
          <w:rFonts w:hint="cs"/>
          <w:sz w:val="24"/>
          <w:rtl/>
        </w:rPr>
        <w:t xml:space="preserve"> שונות, לא ברור </w:t>
      </w:r>
      <w:r w:rsidR="003B1C59" w:rsidRPr="00106D3A">
        <w:rPr>
          <w:rFonts w:hint="cs"/>
          <w:sz w:val="24"/>
          <w:rtl/>
        </w:rPr>
        <w:t xml:space="preserve">שאותה עמדה </w:t>
      </w:r>
      <w:r w:rsidR="00E94749" w:rsidRPr="00106D3A">
        <w:rPr>
          <w:rFonts w:hint="cs"/>
          <w:sz w:val="24"/>
          <w:rtl/>
        </w:rPr>
        <w:t>צריכה</w:t>
      </w:r>
      <w:r w:rsidR="003B1C59" w:rsidRPr="00106D3A">
        <w:rPr>
          <w:rFonts w:hint="cs"/>
          <w:sz w:val="24"/>
          <w:rtl/>
        </w:rPr>
        <w:t xml:space="preserve"> לחול על הרשות המבצעת. </w:t>
      </w:r>
      <w:r w:rsidR="009955AC" w:rsidRPr="00106D3A">
        <w:rPr>
          <w:rFonts w:hint="cs"/>
          <w:sz w:val="24"/>
          <w:rtl/>
        </w:rPr>
        <w:t xml:space="preserve">בעוד השונוּת בתוצאות השיפוטיות היא </w:t>
      </w:r>
      <w:r w:rsidR="00382F19" w:rsidRPr="00106D3A">
        <w:rPr>
          <w:rFonts w:hint="cs"/>
          <w:sz w:val="24"/>
          <w:rtl/>
        </w:rPr>
        <w:t xml:space="preserve">תוצאה </w:t>
      </w:r>
      <w:r w:rsidR="009955AC" w:rsidRPr="00106D3A">
        <w:rPr>
          <w:rFonts w:hint="cs"/>
          <w:sz w:val="24"/>
          <w:rtl/>
        </w:rPr>
        <w:t>בלתי נמנע</w:t>
      </w:r>
      <w:r w:rsidR="00382F19" w:rsidRPr="00106D3A">
        <w:rPr>
          <w:rFonts w:hint="cs"/>
          <w:sz w:val="24"/>
          <w:rtl/>
        </w:rPr>
        <w:t>ת</w:t>
      </w:r>
      <w:r w:rsidR="009955AC" w:rsidRPr="00106D3A">
        <w:rPr>
          <w:rFonts w:hint="cs"/>
          <w:sz w:val="24"/>
          <w:rtl/>
        </w:rPr>
        <w:t xml:space="preserve"> </w:t>
      </w:r>
      <w:r w:rsidR="00672819" w:rsidRPr="00106D3A">
        <w:rPr>
          <w:rFonts w:hint="cs"/>
          <w:sz w:val="24"/>
          <w:rtl/>
        </w:rPr>
        <w:t>של</w:t>
      </w:r>
      <w:r w:rsidR="009955AC" w:rsidRPr="00106D3A">
        <w:rPr>
          <w:rFonts w:hint="cs"/>
          <w:sz w:val="24"/>
          <w:rtl/>
        </w:rPr>
        <w:t xml:space="preserve"> המבנה המבוזר של המערכת ו</w:t>
      </w:r>
      <w:r w:rsidR="00672819" w:rsidRPr="00106D3A">
        <w:rPr>
          <w:rFonts w:hint="cs"/>
          <w:sz w:val="24"/>
          <w:rtl/>
        </w:rPr>
        <w:t xml:space="preserve">של </w:t>
      </w:r>
      <w:r w:rsidR="009955AC" w:rsidRPr="00106D3A">
        <w:rPr>
          <w:rFonts w:hint="cs"/>
          <w:sz w:val="24"/>
          <w:rtl/>
        </w:rPr>
        <w:t>עקרון העצמאות השיפוטית של היושב בדין; הרי השונוּת בהקשר המנהלי נובעת מאסטרטגיה תועלתנית מכ</w:t>
      </w:r>
      <w:r w:rsidR="00F43476" w:rsidRPr="00106D3A">
        <w:rPr>
          <w:rFonts w:hint="cs"/>
          <w:sz w:val="24"/>
          <w:rtl/>
        </w:rPr>
        <w:t>ֻ</w:t>
      </w:r>
      <w:r w:rsidR="009955AC" w:rsidRPr="00106D3A">
        <w:rPr>
          <w:rFonts w:hint="cs"/>
          <w:sz w:val="24"/>
          <w:rtl/>
        </w:rPr>
        <w:t>וונת של הרשות</w:t>
      </w:r>
      <w:r w:rsidR="00AD3B85" w:rsidRPr="00106D3A">
        <w:rPr>
          <w:rFonts w:hint="cs"/>
          <w:sz w:val="24"/>
          <w:rtl/>
        </w:rPr>
        <w:t xml:space="preserve">, אשר </w:t>
      </w:r>
      <w:r w:rsidR="009955AC" w:rsidRPr="00106D3A">
        <w:rPr>
          <w:rFonts w:hint="cs"/>
          <w:sz w:val="24"/>
          <w:rtl/>
        </w:rPr>
        <w:t xml:space="preserve">קובעת את יחסה </w:t>
      </w:r>
      <w:r w:rsidR="00CE2675" w:rsidRPr="00106D3A">
        <w:rPr>
          <w:rFonts w:hint="cs"/>
          <w:sz w:val="24"/>
          <w:rtl/>
        </w:rPr>
        <w:t xml:space="preserve">לאנשים </w:t>
      </w:r>
      <w:r w:rsidR="009955AC" w:rsidRPr="00106D3A">
        <w:rPr>
          <w:rFonts w:hint="cs"/>
          <w:sz w:val="24"/>
          <w:rtl/>
        </w:rPr>
        <w:t xml:space="preserve">השונים לפי התוצאה </w:t>
      </w:r>
      <w:r w:rsidR="00693662" w:rsidRPr="00106D3A">
        <w:rPr>
          <w:rFonts w:hint="cs"/>
          <w:sz w:val="24"/>
          <w:rtl/>
        </w:rPr>
        <w:t xml:space="preserve">המקרית </w:t>
      </w:r>
      <w:r w:rsidR="009955AC" w:rsidRPr="00106D3A">
        <w:rPr>
          <w:rFonts w:hint="cs"/>
          <w:sz w:val="24"/>
          <w:rtl/>
        </w:rPr>
        <w:t>ב</w:t>
      </w:r>
      <w:r w:rsidR="00693662" w:rsidRPr="00106D3A">
        <w:rPr>
          <w:rFonts w:hint="cs"/>
          <w:sz w:val="24"/>
          <w:rtl/>
        </w:rPr>
        <w:t xml:space="preserve">משפטם. </w:t>
      </w:r>
      <w:r w:rsidR="00430FEF" w:rsidRPr="00106D3A">
        <w:rPr>
          <w:rFonts w:hint="cs"/>
          <w:sz w:val="24"/>
          <w:rtl/>
        </w:rPr>
        <w:t xml:space="preserve">ניתן לכאורה לתבוע מן המדינה לאמץ כלל אחיד, </w:t>
      </w:r>
      <w:r w:rsidR="00EF00A6" w:rsidRPr="00106D3A">
        <w:rPr>
          <w:rFonts w:hint="cs"/>
          <w:sz w:val="24"/>
          <w:rtl/>
        </w:rPr>
        <w:t>למשל שנסיגה מעמד</w:t>
      </w:r>
      <w:r w:rsidR="00627E64" w:rsidRPr="00106D3A">
        <w:rPr>
          <w:rFonts w:hint="cs"/>
          <w:sz w:val="24"/>
          <w:rtl/>
        </w:rPr>
        <w:t>ת</w:t>
      </w:r>
      <w:r w:rsidR="00EF00A6" w:rsidRPr="00106D3A">
        <w:rPr>
          <w:rFonts w:hint="cs"/>
          <w:sz w:val="24"/>
          <w:rtl/>
        </w:rPr>
        <w:t>ה ביחס לאדם מסוים מחייבת עדכון העמדה המערכתית גם ביחס לכל יתר האנשים הנמצאים במצבו.</w:t>
      </w:r>
      <w:r w:rsidR="00627E64" w:rsidRPr="00106D3A">
        <w:rPr>
          <w:rFonts w:hint="cs"/>
          <w:sz w:val="24"/>
          <w:rtl/>
        </w:rPr>
        <w:t xml:space="preserve"> </w:t>
      </w:r>
    </w:p>
    <w:p w:rsidR="00EA2736" w:rsidRDefault="003651D6" w:rsidP="00EA2736">
      <w:pPr>
        <w:ind w:firstLine="720"/>
        <w:jc w:val="both"/>
        <w:rPr>
          <w:sz w:val="24"/>
          <w:rtl/>
        </w:rPr>
      </w:pPr>
      <w:r w:rsidRPr="00106D3A">
        <w:rPr>
          <w:rFonts w:hint="cs"/>
          <w:sz w:val="24"/>
          <w:rtl/>
        </w:rPr>
        <w:t xml:space="preserve">אך דומני שתשובה </w:t>
      </w:r>
      <w:r w:rsidR="00457CEF" w:rsidRPr="00106D3A">
        <w:rPr>
          <w:rFonts w:hint="cs"/>
          <w:sz w:val="24"/>
          <w:rtl/>
        </w:rPr>
        <w:t xml:space="preserve">שתהיה </w:t>
      </w:r>
      <w:r w:rsidRPr="00106D3A">
        <w:rPr>
          <w:rFonts w:hint="cs"/>
          <w:sz w:val="24"/>
          <w:rtl/>
        </w:rPr>
        <w:t xml:space="preserve">מספקת </w:t>
      </w:r>
      <w:r w:rsidR="00457CEF" w:rsidRPr="00106D3A">
        <w:rPr>
          <w:rFonts w:hint="cs"/>
          <w:sz w:val="24"/>
          <w:rtl/>
        </w:rPr>
        <w:t xml:space="preserve">באמת </w:t>
      </w:r>
      <w:r w:rsidRPr="00106D3A">
        <w:rPr>
          <w:rFonts w:hint="cs"/>
          <w:sz w:val="24"/>
          <w:rtl/>
        </w:rPr>
        <w:t>לבעיה החלוקתית המתעוררת ב</w:t>
      </w:r>
      <w:r w:rsidR="000F5630" w:rsidRPr="00106D3A">
        <w:rPr>
          <w:rFonts w:hint="cs"/>
          <w:sz w:val="24"/>
          <w:rtl/>
        </w:rPr>
        <w:t xml:space="preserve">מודל הביזורי חייבת </w:t>
      </w:r>
      <w:r w:rsidR="00A03CB7" w:rsidRPr="00106D3A">
        <w:rPr>
          <w:rFonts w:hint="cs"/>
          <w:sz w:val="24"/>
          <w:rtl/>
        </w:rPr>
        <w:t xml:space="preserve">גם כן </w:t>
      </w:r>
      <w:r w:rsidR="000F5630" w:rsidRPr="00106D3A">
        <w:rPr>
          <w:rFonts w:hint="cs"/>
          <w:sz w:val="24"/>
          <w:rtl/>
        </w:rPr>
        <w:t xml:space="preserve">להיות מוסדית: ייתכן ששיטה ביזורית אפקטיבית צריכה </w:t>
      </w:r>
      <w:r w:rsidR="00AD073F" w:rsidRPr="00106D3A">
        <w:rPr>
          <w:rFonts w:hint="cs"/>
          <w:sz w:val="24"/>
          <w:rtl/>
        </w:rPr>
        <w:t xml:space="preserve">בצדה גם מנגנונים שישיגו איזון מסוים </w:t>
      </w:r>
      <w:r w:rsidR="005567B1" w:rsidRPr="00106D3A">
        <w:rPr>
          <w:rFonts w:hint="cs"/>
          <w:sz w:val="24"/>
          <w:rtl/>
        </w:rPr>
        <w:t xml:space="preserve">בין צדדים שאינם שווים במשאבי ההתדיינות שלהם. </w:t>
      </w:r>
      <w:r w:rsidR="00983551" w:rsidRPr="00106D3A">
        <w:rPr>
          <w:rFonts w:hint="cs"/>
          <w:sz w:val="24"/>
          <w:rtl/>
        </w:rPr>
        <w:t>כ</w:t>
      </w:r>
      <w:r w:rsidR="000526B3" w:rsidRPr="00106D3A">
        <w:rPr>
          <w:rFonts w:hint="cs"/>
          <w:sz w:val="24"/>
          <w:rtl/>
        </w:rPr>
        <w:t>ך</w:t>
      </w:r>
      <w:r w:rsidR="00983551" w:rsidRPr="00106D3A">
        <w:rPr>
          <w:rFonts w:hint="cs"/>
          <w:sz w:val="24"/>
          <w:rtl/>
        </w:rPr>
        <w:t xml:space="preserve"> למשל ניתן לחשוב על חקיקה </w:t>
      </w:r>
      <w:r w:rsidR="000526B3" w:rsidRPr="00106D3A">
        <w:rPr>
          <w:rFonts w:hint="cs"/>
          <w:sz w:val="24"/>
          <w:rtl/>
        </w:rPr>
        <w:t>שתחייב את המדי</w:t>
      </w:r>
      <w:r w:rsidR="00B95218" w:rsidRPr="00106D3A">
        <w:rPr>
          <w:rFonts w:hint="cs"/>
          <w:sz w:val="24"/>
          <w:rtl/>
        </w:rPr>
        <w:t>נה לערער אם הפסידה בשאלה חוקתית</w:t>
      </w:r>
      <w:r w:rsidR="00177B06" w:rsidRPr="00106D3A">
        <w:rPr>
          <w:rFonts w:hint="cs"/>
          <w:sz w:val="24"/>
          <w:rtl/>
        </w:rPr>
        <w:t xml:space="preserve"> (או</w:t>
      </w:r>
      <w:r w:rsidR="00A967EC" w:rsidRPr="00106D3A">
        <w:rPr>
          <w:rFonts w:hint="cs"/>
          <w:sz w:val="24"/>
          <w:rtl/>
        </w:rPr>
        <w:t>, מה שסביר יותר,</w:t>
      </w:r>
      <w:r w:rsidR="00C76025">
        <w:rPr>
          <w:rFonts w:hint="cs"/>
          <w:sz w:val="24"/>
          <w:rtl/>
        </w:rPr>
        <w:t xml:space="preserve"> אם הפסידה באופן סדרתי</w:t>
      </w:r>
      <w:r w:rsidR="00177B06" w:rsidRPr="00106D3A">
        <w:rPr>
          <w:rFonts w:hint="cs"/>
          <w:sz w:val="24"/>
          <w:rtl/>
        </w:rPr>
        <w:t xml:space="preserve"> מספר נקוב של פעמים </w:t>
      </w:r>
      <w:r w:rsidR="00177B06" w:rsidRPr="00106D3A">
        <w:rPr>
          <w:sz w:val="24"/>
          <w:rtl/>
        </w:rPr>
        <w:t>–</w:t>
      </w:r>
      <w:r w:rsidR="00177B06" w:rsidRPr="00106D3A">
        <w:rPr>
          <w:rFonts w:hint="cs"/>
          <w:sz w:val="24"/>
          <w:rtl/>
        </w:rPr>
        <w:t xml:space="preserve"> למשל חמש)</w:t>
      </w:r>
      <w:r w:rsidR="00B95218" w:rsidRPr="00106D3A">
        <w:rPr>
          <w:rFonts w:hint="cs"/>
          <w:sz w:val="24"/>
          <w:rtl/>
        </w:rPr>
        <w:t xml:space="preserve">, ובדרך זו לוודא </w:t>
      </w:r>
      <w:r w:rsidR="00623233" w:rsidRPr="00106D3A">
        <w:rPr>
          <w:rFonts w:hint="cs"/>
          <w:sz w:val="24"/>
          <w:rtl/>
        </w:rPr>
        <w:t>שהאפשרות</w:t>
      </w:r>
      <w:r w:rsidR="00B95218" w:rsidRPr="00106D3A">
        <w:rPr>
          <w:rFonts w:hint="cs"/>
          <w:sz w:val="24"/>
          <w:rtl/>
        </w:rPr>
        <w:t xml:space="preserve"> להפיכת הביקורת השיפוטית להלכה מחייבת לא נחסמת בשורות המנהל. </w:t>
      </w:r>
      <w:r w:rsidR="00356D45" w:rsidRPr="00106D3A">
        <w:rPr>
          <w:rFonts w:hint="cs"/>
          <w:sz w:val="24"/>
          <w:rtl/>
        </w:rPr>
        <w:t xml:space="preserve">אנלוגיה מועילה בהקשר זה יכולה להילקח מדיני </w:t>
      </w:r>
      <w:r w:rsidR="00E63A12" w:rsidRPr="00106D3A">
        <w:rPr>
          <w:rFonts w:hint="cs"/>
          <w:sz w:val="24"/>
          <w:rtl/>
        </w:rPr>
        <w:t>העונשין</w:t>
      </w:r>
      <w:r w:rsidR="00356D45" w:rsidRPr="00106D3A">
        <w:rPr>
          <w:rFonts w:hint="cs"/>
          <w:sz w:val="24"/>
          <w:rtl/>
        </w:rPr>
        <w:t xml:space="preserve">, </w:t>
      </w:r>
      <w:r w:rsidR="00672819" w:rsidRPr="00106D3A">
        <w:rPr>
          <w:rFonts w:hint="cs"/>
          <w:sz w:val="24"/>
          <w:rtl/>
        </w:rPr>
        <w:t>שם</w:t>
      </w:r>
      <w:r w:rsidR="00356D45" w:rsidRPr="00106D3A">
        <w:rPr>
          <w:rFonts w:hint="cs"/>
          <w:sz w:val="24"/>
          <w:rtl/>
        </w:rPr>
        <w:t xml:space="preserve"> </w:t>
      </w:r>
      <w:r w:rsidR="00E63A12" w:rsidRPr="00106D3A">
        <w:rPr>
          <w:rFonts w:hint="cs"/>
          <w:sz w:val="24"/>
          <w:rtl/>
        </w:rPr>
        <w:t>הטלת עונש מוות מובילה לערעור</w:t>
      </w:r>
      <w:r w:rsidR="009109C9" w:rsidRPr="00106D3A">
        <w:rPr>
          <w:rFonts w:hint="cs"/>
          <w:sz w:val="24"/>
          <w:rtl/>
        </w:rPr>
        <w:t xml:space="preserve"> אוטומטי</w:t>
      </w:r>
      <w:r w:rsidR="00E63A12" w:rsidRPr="00106D3A">
        <w:rPr>
          <w:rFonts w:hint="cs"/>
          <w:sz w:val="24"/>
          <w:rtl/>
        </w:rPr>
        <w:t xml:space="preserve">, </w:t>
      </w:r>
      <w:r w:rsidR="009109C9" w:rsidRPr="00106D3A">
        <w:rPr>
          <w:rFonts w:hint="cs"/>
          <w:sz w:val="24"/>
          <w:rtl/>
        </w:rPr>
        <w:t>ללא קשר ל</w:t>
      </w:r>
      <w:r w:rsidR="00E63A12" w:rsidRPr="00106D3A">
        <w:rPr>
          <w:rFonts w:hint="cs"/>
          <w:sz w:val="24"/>
          <w:rtl/>
        </w:rPr>
        <w:t>רצונו של הנדון.</w:t>
      </w:r>
      <w:r w:rsidR="00B70D6C" w:rsidRPr="00106D3A">
        <w:rPr>
          <w:rStyle w:val="FootnoteReference"/>
          <w:sz w:val="24"/>
          <w:rtl/>
        </w:rPr>
        <w:footnoteReference w:id="113"/>
      </w:r>
      <w:r w:rsidR="00E63A12" w:rsidRPr="00106D3A">
        <w:rPr>
          <w:rFonts w:hint="cs"/>
          <w:sz w:val="24"/>
          <w:rtl/>
        </w:rPr>
        <w:t xml:space="preserve"> </w:t>
      </w:r>
      <w:r w:rsidR="006014FF" w:rsidRPr="00106D3A">
        <w:rPr>
          <w:rFonts w:hint="cs"/>
          <w:sz w:val="24"/>
          <w:rtl/>
        </w:rPr>
        <w:t xml:space="preserve">ביקורת שיפוטית היא כעין "עונש מוות" לדבר חקיקה </w:t>
      </w:r>
      <w:r w:rsidR="006014FF" w:rsidRPr="00106D3A">
        <w:rPr>
          <w:sz w:val="24"/>
          <w:rtl/>
        </w:rPr>
        <w:t>–</w:t>
      </w:r>
      <w:r w:rsidR="006014FF" w:rsidRPr="00106D3A">
        <w:rPr>
          <w:rFonts w:hint="cs"/>
          <w:sz w:val="24"/>
          <w:rtl/>
        </w:rPr>
        <w:t xml:space="preserve"> ו</w:t>
      </w:r>
      <w:r w:rsidR="009E3285" w:rsidRPr="00106D3A">
        <w:rPr>
          <w:rFonts w:hint="cs"/>
          <w:sz w:val="24"/>
          <w:rtl/>
        </w:rPr>
        <w:t xml:space="preserve">רצוי שגם היא תתברר בערכאה נוספת, אך לא לפני שעברה את שלב הדיון. </w:t>
      </w:r>
    </w:p>
    <w:p w:rsidR="00F86278" w:rsidRPr="00106D3A" w:rsidRDefault="0052426A" w:rsidP="00C20ADB">
      <w:pPr>
        <w:ind w:firstLine="720"/>
        <w:jc w:val="both"/>
        <w:rPr>
          <w:sz w:val="24"/>
          <w:rtl/>
        </w:rPr>
      </w:pPr>
      <w:r w:rsidRPr="00106D3A">
        <w:rPr>
          <w:rFonts w:hint="cs"/>
          <w:sz w:val="24"/>
          <w:rtl/>
        </w:rPr>
        <w:t xml:space="preserve">חידוש מוסדי אחר </w:t>
      </w:r>
      <w:r w:rsidR="00FB6CB3" w:rsidRPr="00106D3A">
        <w:rPr>
          <w:rFonts w:hint="cs"/>
          <w:sz w:val="24"/>
          <w:rtl/>
        </w:rPr>
        <w:t>שיועיל</w:t>
      </w:r>
      <w:r w:rsidR="003066E2" w:rsidRPr="00106D3A">
        <w:rPr>
          <w:rFonts w:hint="cs"/>
          <w:sz w:val="24"/>
          <w:rtl/>
        </w:rPr>
        <w:t xml:space="preserve"> לאיזון הפערים החלוקתיים בין הצדדים יכול </w:t>
      </w:r>
      <w:r w:rsidR="00C52D30" w:rsidRPr="00106D3A">
        <w:rPr>
          <w:rFonts w:hint="cs"/>
          <w:sz w:val="24"/>
          <w:rtl/>
        </w:rPr>
        <w:t xml:space="preserve">להיות </w:t>
      </w:r>
      <w:r w:rsidR="00F86278" w:rsidRPr="00106D3A">
        <w:rPr>
          <w:rFonts w:hint="cs"/>
          <w:sz w:val="24"/>
          <w:rtl/>
        </w:rPr>
        <w:t>הקמת</w:t>
      </w:r>
      <w:r w:rsidRPr="00106D3A">
        <w:rPr>
          <w:rFonts w:hint="cs"/>
          <w:sz w:val="24"/>
          <w:rtl/>
        </w:rPr>
        <w:t>ה</w:t>
      </w:r>
      <w:r w:rsidR="00F86278" w:rsidRPr="00106D3A">
        <w:rPr>
          <w:rFonts w:hint="cs"/>
          <w:sz w:val="24"/>
          <w:rtl/>
        </w:rPr>
        <w:t xml:space="preserve"> </w:t>
      </w:r>
      <w:r w:rsidRPr="00106D3A">
        <w:rPr>
          <w:rFonts w:hint="cs"/>
          <w:sz w:val="24"/>
          <w:rtl/>
        </w:rPr>
        <w:t xml:space="preserve">של </w:t>
      </w:r>
      <w:r w:rsidR="00F86278" w:rsidRPr="00106D3A">
        <w:rPr>
          <w:rFonts w:hint="cs"/>
          <w:sz w:val="24"/>
          <w:rtl/>
        </w:rPr>
        <w:t xml:space="preserve">קרן ציבורית לתמיכה </w:t>
      </w:r>
      <w:proofErr w:type="spellStart"/>
      <w:r w:rsidR="00F86278" w:rsidRPr="00106D3A">
        <w:rPr>
          <w:rFonts w:hint="cs"/>
          <w:sz w:val="24"/>
          <w:rtl/>
        </w:rPr>
        <w:t>בליטיגציות</w:t>
      </w:r>
      <w:proofErr w:type="spellEnd"/>
      <w:r w:rsidR="00F86278" w:rsidRPr="00106D3A">
        <w:rPr>
          <w:rFonts w:hint="cs"/>
          <w:sz w:val="24"/>
          <w:rtl/>
        </w:rPr>
        <w:t xml:space="preserve"> חוקתיות בערכאות הדיון </w:t>
      </w:r>
      <w:r w:rsidR="00F86278" w:rsidRPr="00106D3A">
        <w:rPr>
          <w:sz w:val="24"/>
          <w:rtl/>
        </w:rPr>
        <w:t>–</w:t>
      </w:r>
      <w:r w:rsidR="00F86278" w:rsidRPr="00106D3A">
        <w:rPr>
          <w:rFonts w:hint="cs"/>
          <w:sz w:val="24"/>
          <w:rtl/>
        </w:rPr>
        <w:t xml:space="preserve"> במודל מקביל אולי</w:t>
      </w:r>
      <w:r w:rsidR="006309EC" w:rsidRPr="00106D3A">
        <w:rPr>
          <w:rFonts w:hint="cs"/>
          <w:sz w:val="24"/>
          <w:rtl/>
        </w:rPr>
        <w:t xml:space="preserve"> לקרן למימון תובענות ייצוגיות</w:t>
      </w:r>
      <w:r w:rsidR="00F86278" w:rsidRPr="00106D3A">
        <w:rPr>
          <w:rFonts w:hint="cs"/>
          <w:sz w:val="24"/>
          <w:rtl/>
        </w:rPr>
        <w:t>.</w:t>
      </w:r>
      <w:r w:rsidR="00223DF1" w:rsidRPr="00106D3A">
        <w:rPr>
          <w:rStyle w:val="FootnoteReference"/>
          <w:sz w:val="24"/>
          <w:rtl/>
        </w:rPr>
        <w:footnoteReference w:id="114"/>
      </w:r>
      <w:r w:rsidR="00F86278" w:rsidRPr="00106D3A">
        <w:rPr>
          <w:rFonts w:hint="cs"/>
          <w:sz w:val="24"/>
          <w:rtl/>
        </w:rPr>
        <w:t xml:space="preserve"> </w:t>
      </w:r>
      <w:r w:rsidR="00EA2736">
        <w:rPr>
          <w:rFonts w:hint="cs"/>
          <w:sz w:val="24"/>
          <w:rtl/>
        </w:rPr>
        <w:t xml:space="preserve">הסדר כזה </w:t>
      </w:r>
      <w:r w:rsidR="00C20ADB">
        <w:rPr>
          <w:rFonts w:hint="cs"/>
          <w:sz w:val="24"/>
          <w:rtl/>
        </w:rPr>
        <w:t xml:space="preserve">ימתן את פער הכוחות בין המדינה טועני הטענות החוקתיות. בה בעת, מנגנון כזה </w:t>
      </w:r>
      <w:r w:rsidR="00EA2736">
        <w:rPr>
          <w:rFonts w:hint="cs"/>
          <w:sz w:val="24"/>
          <w:rtl/>
        </w:rPr>
        <w:t xml:space="preserve">יסייע גם במיתון אי-השוויון בין שני סוגים של בעלי דין המעוררים טענות חוקתיות במסלול הביזורי: בעלי דין מבוססים, שהעלות של ליטיגציה ממושכת בכמה ערכאות לא תרתיעה אותם מקידום הטענה החוקתית (דוגמת הבנקים בפרשת </w:t>
      </w:r>
      <w:r w:rsidR="00EA2736" w:rsidRPr="00EA2736">
        <w:rPr>
          <w:rFonts w:hint="cs"/>
          <w:b/>
          <w:bCs/>
          <w:sz w:val="24"/>
          <w:rtl/>
        </w:rPr>
        <w:t>בנק המזרחי</w:t>
      </w:r>
      <w:r w:rsidR="00EA2736">
        <w:rPr>
          <w:rFonts w:hint="cs"/>
          <w:sz w:val="24"/>
          <w:rtl/>
        </w:rPr>
        <w:t xml:space="preserve">), ובעלי דין חלשים, שהגישה הזולה לבג"ץ אפשרה להם להיות שחקנים משמעותיים </w:t>
      </w:r>
      <w:r w:rsidR="00EA2736">
        <w:rPr>
          <w:rFonts w:hint="cs"/>
          <w:sz w:val="24"/>
          <w:rtl/>
        </w:rPr>
        <w:lastRenderedPageBreak/>
        <w:t xml:space="preserve">בזירה החוקתית, ושהעלות של ניהול הליך ממושך ורב-שלבים עשויה להיות </w:t>
      </w:r>
      <w:proofErr w:type="spellStart"/>
      <w:r w:rsidR="00EA2736">
        <w:rPr>
          <w:rFonts w:hint="cs"/>
          <w:sz w:val="24"/>
          <w:rtl/>
        </w:rPr>
        <w:t>פרוהיביטיבית</w:t>
      </w:r>
      <w:proofErr w:type="spellEnd"/>
      <w:r w:rsidR="00EA2736">
        <w:rPr>
          <w:rFonts w:hint="cs"/>
          <w:sz w:val="24"/>
          <w:rtl/>
        </w:rPr>
        <w:t xml:space="preserve"> עבורם. </w:t>
      </w:r>
      <w:r w:rsidR="00304B33" w:rsidRPr="00106D3A">
        <w:rPr>
          <w:rFonts w:hint="cs"/>
          <w:sz w:val="24"/>
          <w:rtl/>
        </w:rPr>
        <w:t xml:space="preserve">המאמר הנוכחי אינו המקום המתאים לפיתוח מפורט של חלופות מוסדיות אלה. חשיבותן כאן בהדגמת האפשרות העקרונית לתת מענה גם להשלכות </w:t>
      </w:r>
      <w:r w:rsidR="00F77641" w:rsidRPr="00106D3A">
        <w:rPr>
          <w:rFonts w:hint="cs"/>
          <w:sz w:val="24"/>
          <w:rtl/>
        </w:rPr>
        <w:t xml:space="preserve">החלוקתיות של הביקורת השיפוטית הביזורית. </w:t>
      </w:r>
    </w:p>
    <w:p w:rsidR="00AD2705" w:rsidRPr="00106D3A" w:rsidRDefault="00AD2705" w:rsidP="00304B33">
      <w:pPr>
        <w:ind w:firstLine="720"/>
        <w:jc w:val="both"/>
        <w:rPr>
          <w:sz w:val="24"/>
          <w:rtl/>
        </w:rPr>
      </w:pPr>
    </w:p>
    <w:p w:rsidR="00AD2705" w:rsidRPr="00106D3A" w:rsidRDefault="00AD2705" w:rsidP="00D374A3">
      <w:pPr>
        <w:pStyle w:val="Heading2"/>
        <w:rPr>
          <w:rtl/>
        </w:rPr>
      </w:pPr>
      <w:bookmarkStart w:id="45" w:name="_Toc372223066"/>
      <w:r w:rsidRPr="00106D3A">
        <w:rPr>
          <w:rFonts w:hint="cs"/>
          <w:rtl/>
        </w:rPr>
        <w:t>מדוע בג"ץ אינו הפתרון?</w:t>
      </w:r>
      <w:bookmarkEnd w:id="45"/>
      <w:r w:rsidRPr="00106D3A">
        <w:rPr>
          <w:rFonts w:hint="cs"/>
          <w:rtl/>
        </w:rPr>
        <w:t xml:space="preserve"> </w:t>
      </w:r>
    </w:p>
    <w:p w:rsidR="007F4AC2" w:rsidRPr="00106D3A" w:rsidRDefault="00333DEC" w:rsidP="00D32EFD">
      <w:pPr>
        <w:ind w:firstLine="720"/>
        <w:jc w:val="both"/>
        <w:rPr>
          <w:sz w:val="24"/>
          <w:rtl/>
        </w:rPr>
      </w:pPr>
      <w:r w:rsidRPr="00106D3A">
        <w:rPr>
          <w:rFonts w:hint="cs"/>
          <w:sz w:val="24"/>
          <w:rtl/>
        </w:rPr>
        <w:t xml:space="preserve">לבסוף, ניתן לתהות </w:t>
      </w:r>
      <w:r w:rsidR="00BB6346" w:rsidRPr="00106D3A">
        <w:rPr>
          <w:rFonts w:hint="cs"/>
          <w:sz w:val="24"/>
          <w:rtl/>
        </w:rPr>
        <w:t xml:space="preserve">האם המאפיינים המוסדיים הייחודיים של </w:t>
      </w:r>
      <w:r w:rsidR="00E62163" w:rsidRPr="00106D3A">
        <w:rPr>
          <w:rFonts w:hint="cs"/>
          <w:sz w:val="24"/>
          <w:rtl/>
        </w:rPr>
        <w:t xml:space="preserve">בית המשפט העליון הישראלי </w:t>
      </w:r>
      <w:r w:rsidR="00664E68" w:rsidRPr="00106D3A">
        <w:rPr>
          <w:rFonts w:hint="cs"/>
          <w:sz w:val="24"/>
          <w:rtl/>
        </w:rPr>
        <w:t xml:space="preserve">בשבתו כבית משפט גבוה לצדק </w:t>
      </w:r>
      <w:r w:rsidR="00BB6346" w:rsidRPr="00106D3A">
        <w:rPr>
          <w:rFonts w:hint="cs"/>
          <w:sz w:val="24"/>
          <w:rtl/>
        </w:rPr>
        <w:t xml:space="preserve">אינם יכולים לספק את מרבית התנאים שהתיאוריה הדמוקרטית של ההליך החוקתי מבקשת למצוא בערכאות הדיון. </w:t>
      </w:r>
      <w:r w:rsidR="00E62163" w:rsidRPr="00106D3A">
        <w:rPr>
          <w:rFonts w:hint="cs"/>
          <w:sz w:val="24"/>
          <w:rtl/>
        </w:rPr>
        <w:t xml:space="preserve">אמת, בג"ץ הוא כעין ערכאת דיון חריגה </w:t>
      </w:r>
      <w:r w:rsidR="00E62163" w:rsidRPr="00106D3A">
        <w:rPr>
          <w:sz w:val="24"/>
          <w:rtl/>
        </w:rPr>
        <w:t>–</w:t>
      </w:r>
      <w:r w:rsidR="00E62163" w:rsidRPr="00106D3A">
        <w:rPr>
          <w:rFonts w:hint="cs"/>
          <w:sz w:val="24"/>
          <w:rtl/>
        </w:rPr>
        <w:t xml:space="preserve"> ערכאה ראשונה אליה מגיעים באופן ישיר ובעלות נמוכה </w:t>
      </w:r>
      <w:r w:rsidR="00D32EFD" w:rsidRPr="00106D3A">
        <w:rPr>
          <w:rFonts w:hint="cs"/>
          <w:sz w:val="24"/>
          <w:rtl/>
        </w:rPr>
        <w:t xml:space="preserve">יחסית </w:t>
      </w:r>
      <w:r w:rsidR="00E62163" w:rsidRPr="00106D3A">
        <w:rPr>
          <w:rFonts w:hint="cs"/>
          <w:sz w:val="24"/>
          <w:rtl/>
        </w:rPr>
        <w:t xml:space="preserve">אלפי עותרים בשנה, </w:t>
      </w:r>
      <w:r w:rsidR="00AC3DB7" w:rsidRPr="00106D3A">
        <w:rPr>
          <w:rFonts w:hint="cs"/>
          <w:sz w:val="24"/>
          <w:rtl/>
        </w:rPr>
        <w:t xml:space="preserve">וכל </w:t>
      </w:r>
      <w:r w:rsidR="00D65B03" w:rsidRPr="00106D3A">
        <w:rPr>
          <w:rFonts w:hint="cs"/>
          <w:sz w:val="24"/>
          <w:rtl/>
        </w:rPr>
        <w:t>עתירה מן האלפים מסתיימת ב</w:t>
      </w:r>
      <w:r w:rsidR="00AC3DB7" w:rsidRPr="00106D3A">
        <w:rPr>
          <w:rFonts w:hint="cs"/>
          <w:sz w:val="24"/>
          <w:rtl/>
        </w:rPr>
        <w:t>פסק דין מנומק</w:t>
      </w:r>
      <w:r w:rsidR="00907F22" w:rsidRPr="00106D3A">
        <w:rPr>
          <w:rFonts w:hint="cs"/>
          <w:sz w:val="24"/>
          <w:rtl/>
        </w:rPr>
        <w:t xml:space="preserve">. </w:t>
      </w:r>
      <w:r w:rsidR="00E96C15" w:rsidRPr="00106D3A">
        <w:rPr>
          <w:rFonts w:hint="cs"/>
          <w:sz w:val="24"/>
          <w:rtl/>
        </w:rPr>
        <w:t xml:space="preserve">בג"ץ מקיים אפוא את תנאי הריבוי שהנו מאפיין מרכזי של המודל הביזורי. </w:t>
      </w:r>
      <w:r w:rsidR="007F4AC2" w:rsidRPr="00106D3A">
        <w:rPr>
          <w:rFonts w:hint="cs"/>
          <w:sz w:val="24"/>
          <w:rtl/>
        </w:rPr>
        <w:t xml:space="preserve">הגישה הזולה והזמינה אליו וסדרי הדין הרכים המופעלים בדיוניו מאפשרים קיומה של </w:t>
      </w:r>
      <w:proofErr w:type="spellStart"/>
      <w:r w:rsidR="007F4AC2" w:rsidRPr="00106D3A">
        <w:rPr>
          <w:rFonts w:hint="cs"/>
          <w:sz w:val="24"/>
          <w:rtl/>
        </w:rPr>
        <w:t>דינמיקה</w:t>
      </w:r>
      <w:proofErr w:type="spellEnd"/>
      <w:r w:rsidR="007F4AC2" w:rsidRPr="00106D3A">
        <w:rPr>
          <w:rFonts w:hint="cs"/>
          <w:sz w:val="24"/>
          <w:rtl/>
        </w:rPr>
        <w:t xml:space="preserve"> </w:t>
      </w:r>
      <w:proofErr w:type="spellStart"/>
      <w:r w:rsidR="007F4AC2" w:rsidRPr="00106D3A">
        <w:rPr>
          <w:rFonts w:hint="cs"/>
          <w:sz w:val="24"/>
          <w:rtl/>
        </w:rPr>
        <w:t>התדיינותית</w:t>
      </w:r>
      <w:proofErr w:type="spellEnd"/>
      <w:r w:rsidR="007F4AC2" w:rsidRPr="00106D3A">
        <w:rPr>
          <w:rFonts w:hint="cs"/>
          <w:sz w:val="24"/>
          <w:rtl/>
        </w:rPr>
        <w:t xml:space="preserve"> ערה יחסית, לא אחת בהשתתפות אזרחים "מן השורה" הטוענים לעצמם (</w:t>
      </w:r>
      <w:r w:rsidR="00AE24BA" w:rsidRPr="00106D3A">
        <w:rPr>
          <w:rFonts w:hint="cs"/>
          <w:sz w:val="24"/>
          <w:rtl/>
        </w:rPr>
        <w:t xml:space="preserve">בין </w:t>
      </w:r>
      <w:r w:rsidR="007F4AC2" w:rsidRPr="00106D3A">
        <w:rPr>
          <w:rFonts w:hint="cs"/>
          <w:sz w:val="24"/>
          <w:rtl/>
        </w:rPr>
        <w:t>לצד פרקליטי</w:t>
      </w:r>
      <w:r w:rsidR="00AE24BA" w:rsidRPr="00106D3A">
        <w:rPr>
          <w:rFonts w:hint="cs"/>
          <w:sz w:val="24"/>
          <w:rtl/>
        </w:rPr>
        <w:t xml:space="preserve">הם ובין </w:t>
      </w:r>
      <w:r w:rsidR="007F4AC2" w:rsidRPr="00106D3A">
        <w:rPr>
          <w:rFonts w:hint="cs"/>
          <w:sz w:val="24"/>
          <w:rtl/>
        </w:rPr>
        <w:t>ללא תיווך מקצועי כלל)</w:t>
      </w:r>
      <w:r w:rsidR="00466CFA" w:rsidRPr="00106D3A">
        <w:rPr>
          <w:rFonts w:hint="cs"/>
          <w:sz w:val="24"/>
          <w:rtl/>
        </w:rPr>
        <w:t xml:space="preserve"> </w:t>
      </w:r>
      <w:r w:rsidR="00A71E18" w:rsidRPr="00106D3A">
        <w:rPr>
          <w:rFonts w:hint="cs"/>
          <w:sz w:val="24"/>
          <w:rtl/>
        </w:rPr>
        <w:t>ו</w:t>
      </w:r>
      <w:r w:rsidR="00466CFA" w:rsidRPr="00106D3A">
        <w:rPr>
          <w:rFonts w:hint="cs"/>
          <w:sz w:val="24"/>
          <w:rtl/>
        </w:rPr>
        <w:t xml:space="preserve">מגיעים מכל שדרות החברה. </w:t>
      </w:r>
      <w:r w:rsidR="00D65B03" w:rsidRPr="00106D3A">
        <w:rPr>
          <w:rFonts w:hint="cs"/>
          <w:sz w:val="24"/>
          <w:rtl/>
        </w:rPr>
        <w:t>בג"ץ גם יושב ככלל בהרכבי שלושה</w:t>
      </w:r>
      <w:r w:rsidR="00F86A39" w:rsidRPr="00106D3A">
        <w:rPr>
          <w:rFonts w:hint="cs"/>
          <w:sz w:val="24"/>
          <w:rtl/>
        </w:rPr>
        <w:t xml:space="preserve"> </w:t>
      </w:r>
      <w:r w:rsidR="00812788" w:rsidRPr="00106D3A">
        <w:rPr>
          <w:rFonts w:hint="cs"/>
          <w:sz w:val="24"/>
          <w:rtl/>
        </w:rPr>
        <w:t>שאינם כובלים זה את זה בהחלטותיהם.</w:t>
      </w:r>
      <w:r w:rsidR="00D11C7C" w:rsidRPr="00106D3A">
        <w:rPr>
          <w:rStyle w:val="FootnoteReference"/>
          <w:sz w:val="24"/>
          <w:rtl/>
        </w:rPr>
        <w:footnoteReference w:id="115"/>
      </w:r>
      <w:r w:rsidR="00812788" w:rsidRPr="00106D3A">
        <w:rPr>
          <w:rFonts w:hint="cs"/>
          <w:sz w:val="24"/>
          <w:rtl/>
        </w:rPr>
        <w:t xml:space="preserve"> נתון זה עשוי לאפשר </w:t>
      </w:r>
      <w:r w:rsidR="00A342DC" w:rsidRPr="00106D3A">
        <w:rPr>
          <w:sz w:val="24"/>
          <w:rtl/>
        </w:rPr>
        <w:t>–</w:t>
      </w:r>
      <w:r w:rsidR="00A342DC" w:rsidRPr="00106D3A">
        <w:rPr>
          <w:rFonts w:hint="cs"/>
          <w:sz w:val="24"/>
          <w:rtl/>
        </w:rPr>
        <w:t xml:space="preserve"> בבית משפט המונה חמישה עשר שופטים</w:t>
      </w:r>
      <w:r w:rsidR="00ED2F88">
        <w:rPr>
          <w:rFonts w:hint="cs"/>
          <w:sz w:val="24"/>
          <w:rtl/>
        </w:rPr>
        <w:t>, ואשר כולל גם אפשרות לדיון נוסף</w:t>
      </w:r>
      <w:r w:rsidR="00A342DC" w:rsidRPr="00106D3A">
        <w:rPr>
          <w:rFonts w:hint="cs"/>
          <w:sz w:val="24"/>
          <w:rtl/>
        </w:rPr>
        <w:t xml:space="preserve"> </w:t>
      </w:r>
      <w:r w:rsidR="00997569" w:rsidRPr="00106D3A">
        <w:rPr>
          <w:sz w:val="24"/>
          <w:rtl/>
        </w:rPr>
        <w:t>–</w:t>
      </w:r>
      <w:r w:rsidR="00A342DC" w:rsidRPr="00106D3A">
        <w:rPr>
          <w:rFonts w:hint="cs"/>
          <w:sz w:val="24"/>
          <w:rtl/>
        </w:rPr>
        <w:t xml:space="preserve"> </w:t>
      </w:r>
      <w:r w:rsidR="00997569" w:rsidRPr="00106D3A">
        <w:rPr>
          <w:rFonts w:hint="cs"/>
          <w:sz w:val="24"/>
          <w:rtl/>
        </w:rPr>
        <w:t>גיוון תוצאתי אפילו בין ההרכבים השונים לבין עצמם</w:t>
      </w:r>
      <w:r w:rsidR="00EE52DD" w:rsidRPr="00106D3A">
        <w:rPr>
          <w:rFonts w:hint="cs"/>
          <w:sz w:val="24"/>
          <w:rtl/>
        </w:rPr>
        <w:t xml:space="preserve">, במידה שתאפשר אולי תהליכים של </w:t>
      </w:r>
      <w:proofErr w:type="spellStart"/>
      <w:r w:rsidR="00EE52DD" w:rsidRPr="00106D3A">
        <w:rPr>
          <w:rFonts w:hint="cs"/>
          <w:sz w:val="24"/>
          <w:rtl/>
        </w:rPr>
        <w:t>נסיינות</w:t>
      </w:r>
      <w:proofErr w:type="spellEnd"/>
      <w:r w:rsidR="00EE52DD" w:rsidRPr="00106D3A">
        <w:rPr>
          <w:rFonts w:hint="cs"/>
          <w:sz w:val="24"/>
          <w:rtl/>
        </w:rPr>
        <w:t xml:space="preserve"> וביקורת. </w:t>
      </w:r>
      <w:r w:rsidR="00CB2788" w:rsidRPr="00106D3A">
        <w:rPr>
          <w:rFonts w:hint="cs"/>
          <w:sz w:val="24"/>
          <w:rtl/>
        </w:rPr>
        <w:t xml:space="preserve">הייתכן שבמדינה קטנה יחסית כמו ישראל, </w:t>
      </w:r>
      <w:r w:rsidR="00A90008" w:rsidRPr="00106D3A">
        <w:rPr>
          <w:rFonts w:hint="cs"/>
          <w:sz w:val="24"/>
          <w:rtl/>
        </w:rPr>
        <w:t>די ב</w:t>
      </w:r>
      <w:r w:rsidR="00D0763B" w:rsidRPr="00106D3A">
        <w:rPr>
          <w:rFonts w:hint="cs"/>
          <w:sz w:val="24"/>
          <w:rtl/>
        </w:rPr>
        <w:t>בג"ץ כ</w:t>
      </w:r>
      <w:r w:rsidR="00A90008" w:rsidRPr="00106D3A">
        <w:rPr>
          <w:rFonts w:hint="cs"/>
          <w:sz w:val="24"/>
          <w:rtl/>
        </w:rPr>
        <w:t xml:space="preserve">די לספק את </w:t>
      </w:r>
      <w:r w:rsidR="00AE000B" w:rsidRPr="00106D3A">
        <w:rPr>
          <w:rFonts w:hint="cs"/>
          <w:sz w:val="24"/>
          <w:rtl/>
        </w:rPr>
        <w:t>דרישותיה</w:t>
      </w:r>
      <w:r w:rsidR="00A90008" w:rsidRPr="00106D3A">
        <w:rPr>
          <w:rFonts w:hint="cs"/>
          <w:sz w:val="24"/>
          <w:rtl/>
        </w:rPr>
        <w:t xml:space="preserve"> </w:t>
      </w:r>
      <w:r w:rsidR="00AE000B" w:rsidRPr="00106D3A">
        <w:rPr>
          <w:rFonts w:hint="cs"/>
          <w:sz w:val="24"/>
          <w:rtl/>
        </w:rPr>
        <w:t xml:space="preserve">של </w:t>
      </w:r>
      <w:r w:rsidR="00A90008" w:rsidRPr="00106D3A">
        <w:rPr>
          <w:rFonts w:hint="cs"/>
          <w:sz w:val="24"/>
          <w:rtl/>
        </w:rPr>
        <w:t xml:space="preserve">חוקתיות דמוקרטית, ואין צורך לשאת בעלויות השונות הכרוכות בהפעלת שיטה ביזורית? </w:t>
      </w:r>
    </w:p>
    <w:p w:rsidR="00F33E2D" w:rsidRPr="00106D3A" w:rsidRDefault="00706ADC" w:rsidP="00F74E60">
      <w:pPr>
        <w:ind w:firstLine="720"/>
        <w:jc w:val="both"/>
        <w:rPr>
          <w:sz w:val="24"/>
          <w:rtl/>
        </w:rPr>
      </w:pPr>
      <w:r w:rsidRPr="00106D3A">
        <w:rPr>
          <w:rFonts w:hint="cs"/>
          <w:sz w:val="24"/>
          <w:rtl/>
        </w:rPr>
        <w:t xml:space="preserve">אין לפסול את האפשרות </w:t>
      </w:r>
      <w:r w:rsidR="002E72A8" w:rsidRPr="00106D3A">
        <w:rPr>
          <w:rFonts w:hint="cs"/>
          <w:sz w:val="24"/>
          <w:rtl/>
        </w:rPr>
        <w:t>ש</w:t>
      </w:r>
      <w:r w:rsidRPr="00106D3A">
        <w:rPr>
          <w:rFonts w:hint="cs"/>
          <w:sz w:val="24"/>
          <w:rtl/>
        </w:rPr>
        <w:t>התפתחו</w:t>
      </w:r>
      <w:r w:rsidR="002E72A8" w:rsidRPr="00106D3A">
        <w:rPr>
          <w:rFonts w:hint="cs"/>
          <w:sz w:val="24"/>
          <w:rtl/>
        </w:rPr>
        <w:t>ת</w:t>
      </w:r>
      <w:r w:rsidRPr="00106D3A">
        <w:rPr>
          <w:rFonts w:hint="cs"/>
          <w:sz w:val="24"/>
          <w:rtl/>
        </w:rPr>
        <w:t xml:space="preserve"> מאפייני ההתדיינות בבג"ץ לאורך </w:t>
      </w:r>
      <w:r w:rsidR="00CD24AC" w:rsidRPr="00106D3A">
        <w:rPr>
          <w:rFonts w:hint="cs"/>
          <w:sz w:val="24"/>
          <w:rtl/>
        </w:rPr>
        <w:t xml:space="preserve">השנים </w:t>
      </w:r>
      <w:r w:rsidR="002E72A8" w:rsidRPr="00106D3A">
        <w:rPr>
          <w:sz w:val="24"/>
          <w:rtl/>
        </w:rPr>
        <w:t>–</w:t>
      </w:r>
      <w:r w:rsidR="002E72A8" w:rsidRPr="00106D3A">
        <w:rPr>
          <w:rFonts w:hint="cs"/>
          <w:sz w:val="24"/>
          <w:rtl/>
        </w:rPr>
        <w:t xml:space="preserve"> צמצום חסמי הגישה, </w:t>
      </w:r>
      <w:r w:rsidR="00760ECC" w:rsidRPr="00106D3A">
        <w:rPr>
          <w:rFonts w:hint="cs"/>
          <w:sz w:val="24"/>
          <w:rtl/>
        </w:rPr>
        <w:t xml:space="preserve">העלייה בשיעור </w:t>
      </w:r>
      <w:r w:rsidR="002E72A8" w:rsidRPr="00106D3A">
        <w:rPr>
          <w:rFonts w:hint="cs"/>
          <w:sz w:val="24"/>
          <w:rtl/>
        </w:rPr>
        <w:t xml:space="preserve">העתירות, הגדלת מספר השופטים </w:t>
      </w:r>
      <w:r w:rsidR="002E72A8" w:rsidRPr="00106D3A">
        <w:rPr>
          <w:sz w:val="24"/>
          <w:rtl/>
        </w:rPr>
        <w:t>–</w:t>
      </w:r>
      <w:r w:rsidR="002E72A8" w:rsidRPr="00106D3A">
        <w:rPr>
          <w:rFonts w:hint="cs"/>
          <w:sz w:val="24"/>
          <w:rtl/>
        </w:rPr>
        <w:t xml:space="preserve"> </w:t>
      </w:r>
      <w:r w:rsidR="00CD24AC" w:rsidRPr="00106D3A">
        <w:rPr>
          <w:rFonts w:hint="cs"/>
          <w:sz w:val="24"/>
          <w:rtl/>
        </w:rPr>
        <w:t>יוצר</w:t>
      </w:r>
      <w:r w:rsidR="002E72A8" w:rsidRPr="00106D3A">
        <w:rPr>
          <w:rFonts w:hint="cs"/>
          <w:sz w:val="24"/>
          <w:rtl/>
        </w:rPr>
        <w:t>ת</w:t>
      </w:r>
      <w:r w:rsidR="00CD24AC" w:rsidRPr="00106D3A">
        <w:rPr>
          <w:rFonts w:hint="cs"/>
          <w:sz w:val="24"/>
          <w:rtl/>
        </w:rPr>
        <w:t xml:space="preserve"> פוטנציאל לדינמיקה דמוקרטית בהליכים החוקתיים שבבית המשפט העליון. </w:t>
      </w:r>
      <w:r w:rsidR="00D83BE3" w:rsidRPr="00106D3A">
        <w:rPr>
          <w:rFonts w:hint="cs"/>
          <w:sz w:val="24"/>
          <w:rtl/>
        </w:rPr>
        <w:t xml:space="preserve">אלא שבפועל זו אינה נטייתו של בית המשפט. </w:t>
      </w:r>
      <w:r w:rsidR="00742100" w:rsidRPr="00106D3A">
        <w:rPr>
          <w:rFonts w:hint="cs"/>
          <w:sz w:val="24"/>
          <w:rtl/>
        </w:rPr>
        <w:t>ראשית, אף שבית המשפט העליון פורמאלית אינו מחויב בתקדימיו, התרבות המוסדית שהתפתחה בו מאז קום המדינה משקפת נטייה חזקה לציות לתקדימים קיימים ורתיעה מפני סטייה מן השורה,</w:t>
      </w:r>
      <w:r w:rsidR="00742100" w:rsidRPr="00106D3A">
        <w:rPr>
          <w:rStyle w:val="FootnoteReference"/>
          <w:sz w:val="24"/>
          <w:rtl/>
        </w:rPr>
        <w:footnoteReference w:id="116"/>
      </w:r>
      <w:r w:rsidR="00742100" w:rsidRPr="00106D3A">
        <w:rPr>
          <w:rFonts w:hint="cs"/>
          <w:sz w:val="24"/>
          <w:rtl/>
        </w:rPr>
        <w:t xml:space="preserve"> כך שריבוי הרכבי-שלושה בדרך כלל אינו מייצר ריבוי של קולות שיפוטיים.</w:t>
      </w:r>
      <w:r w:rsidR="00F74E60" w:rsidRPr="00106D3A">
        <w:rPr>
          <w:rFonts w:hint="cs"/>
          <w:sz w:val="24"/>
          <w:rtl/>
        </w:rPr>
        <w:t xml:space="preserve"> חשוב מכך, </w:t>
      </w:r>
      <w:r w:rsidR="00D83BE3" w:rsidRPr="00106D3A">
        <w:rPr>
          <w:rFonts w:hint="cs"/>
          <w:sz w:val="24"/>
          <w:rtl/>
        </w:rPr>
        <w:t xml:space="preserve">בעשורים האחרונים, בהם החל בית המשפט לעסוק באינטנסיביות בסוגיות חוקתיות, גברה במידה משמעותית </w:t>
      </w:r>
      <w:r w:rsidR="007C0EF0" w:rsidRPr="00106D3A">
        <w:rPr>
          <w:rFonts w:hint="cs"/>
          <w:sz w:val="24"/>
          <w:rtl/>
        </w:rPr>
        <w:t>העדפתו</w:t>
      </w:r>
      <w:r w:rsidR="00D83BE3" w:rsidRPr="00106D3A">
        <w:rPr>
          <w:rFonts w:hint="cs"/>
          <w:sz w:val="24"/>
          <w:rtl/>
        </w:rPr>
        <w:t xml:space="preserve"> להתכנס </w:t>
      </w:r>
      <w:r w:rsidR="005478AD" w:rsidRPr="00106D3A">
        <w:rPr>
          <w:rFonts w:hint="cs"/>
          <w:sz w:val="24"/>
          <w:rtl/>
        </w:rPr>
        <w:t>במותבים</w:t>
      </w:r>
      <w:r w:rsidR="00D83BE3" w:rsidRPr="00106D3A">
        <w:rPr>
          <w:rFonts w:hint="cs"/>
          <w:sz w:val="24"/>
          <w:rtl/>
        </w:rPr>
        <w:t xml:space="preserve"> מורחבים. מגמה זו מופיעה בהקשרים מגוונים, והיא נפוצה במיוחד בעתירות שמצליחות להצביע על קושי חוקתי </w:t>
      </w:r>
      <w:r w:rsidR="004B019B" w:rsidRPr="00106D3A">
        <w:rPr>
          <w:rFonts w:hint="cs"/>
          <w:sz w:val="24"/>
          <w:rtl/>
        </w:rPr>
        <w:t>רציני.</w:t>
      </w:r>
      <w:bookmarkStart w:id="46" w:name="_Ref365893977"/>
      <w:r w:rsidR="00C605C0" w:rsidRPr="00106D3A">
        <w:rPr>
          <w:rStyle w:val="FootnoteReference"/>
          <w:sz w:val="24"/>
          <w:rtl/>
        </w:rPr>
        <w:footnoteReference w:id="117"/>
      </w:r>
      <w:bookmarkEnd w:id="46"/>
      <w:r w:rsidR="004B019B" w:rsidRPr="00106D3A">
        <w:rPr>
          <w:rFonts w:hint="cs"/>
          <w:sz w:val="24"/>
          <w:rtl/>
        </w:rPr>
        <w:t xml:space="preserve"> </w:t>
      </w:r>
      <w:r w:rsidR="00245E67" w:rsidRPr="00106D3A">
        <w:rPr>
          <w:rFonts w:hint="cs"/>
          <w:sz w:val="24"/>
          <w:rtl/>
        </w:rPr>
        <w:t xml:space="preserve">הטעם לכך מובן, והוא מבטא את ההיגיון הריכוזי הדומיננטי של השיטה הקיימת: ביטול חוק נתפס כמעשה כה חריג, ה"מגרד" את גבולות הלגיטימיות של בית המשפט, שרצוי שתינתן לו גושפנקה רחבה ככל הניתן. </w:t>
      </w:r>
      <w:r w:rsidR="001277D9" w:rsidRPr="00106D3A">
        <w:rPr>
          <w:rFonts w:hint="cs"/>
          <w:sz w:val="24"/>
          <w:rtl/>
        </w:rPr>
        <w:t xml:space="preserve">לגישה זו הצטרפה נטייתו של בית המשפט העליון, לפחות בתקופת נשיאותו של אהרן ברק, לשאוף לפסקי דין בהסכמה רחבה, כך שחילוקי דעות בין השופטים יטושטשו </w:t>
      </w:r>
      <w:r w:rsidR="009A32D9" w:rsidRPr="00106D3A">
        <w:rPr>
          <w:rFonts w:hint="cs"/>
          <w:sz w:val="24"/>
          <w:rtl/>
        </w:rPr>
        <w:t>ואמון הציבור בה</w:t>
      </w:r>
      <w:r w:rsidR="001277D9" w:rsidRPr="00106D3A">
        <w:rPr>
          <w:rFonts w:hint="cs"/>
          <w:sz w:val="24"/>
          <w:rtl/>
        </w:rPr>
        <w:t xml:space="preserve">חלטה </w:t>
      </w:r>
      <w:r w:rsidR="009A32D9" w:rsidRPr="00106D3A">
        <w:rPr>
          <w:rFonts w:hint="cs"/>
          <w:sz w:val="24"/>
          <w:rtl/>
        </w:rPr>
        <w:t>י</w:t>
      </w:r>
      <w:r w:rsidR="001277D9" w:rsidRPr="00106D3A">
        <w:rPr>
          <w:rFonts w:hint="cs"/>
          <w:sz w:val="24"/>
          <w:rtl/>
        </w:rPr>
        <w:t>גדל.</w:t>
      </w:r>
      <w:r w:rsidR="00A76D3F" w:rsidRPr="00106D3A">
        <w:rPr>
          <w:rStyle w:val="FootnoteReference"/>
          <w:sz w:val="24"/>
          <w:rtl/>
        </w:rPr>
        <w:footnoteReference w:id="118"/>
      </w:r>
      <w:r w:rsidR="001277D9" w:rsidRPr="00106D3A">
        <w:rPr>
          <w:rFonts w:hint="cs"/>
          <w:sz w:val="24"/>
          <w:rtl/>
        </w:rPr>
        <w:t xml:space="preserve"> </w:t>
      </w:r>
      <w:r w:rsidR="004944F0" w:rsidRPr="00106D3A">
        <w:rPr>
          <w:rFonts w:hint="cs"/>
          <w:sz w:val="24"/>
          <w:rtl/>
        </w:rPr>
        <w:t>יוצא שבתחום החוקתי לפחות, בג"ץ אימץ מאפיינים של ערכאה ריכוזית טיפו</w:t>
      </w:r>
      <w:r w:rsidR="00F6175A" w:rsidRPr="00106D3A">
        <w:rPr>
          <w:rFonts w:hint="cs"/>
          <w:sz w:val="24"/>
          <w:rtl/>
        </w:rPr>
        <w:t>סית, ודווקא הפוטנציאל הדמוקרטי שמייחד את סדר</w:t>
      </w:r>
      <w:r w:rsidR="00137ABB" w:rsidRPr="00106D3A">
        <w:rPr>
          <w:rFonts w:hint="cs"/>
          <w:sz w:val="24"/>
          <w:rtl/>
        </w:rPr>
        <w:t xml:space="preserve">י הדין שלו אינו בא לידי ביטוי. </w:t>
      </w:r>
      <w:r w:rsidR="007A743F" w:rsidRPr="00106D3A">
        <w:rPr>
          <w:rFonts w:hint="cs"/>
          <w:sz w:val="24"/>
          <w:rtl/>
        </w:rPr>
        <w:t>כפי שראינו</w:t>
      </w:r>
      <w:r w:rsidR="00137ABB" w:rsidRPr="00106D3A">
        <w:rPr>
          <w:rFonts w:hint="cs"/>
          <w:sz w:val="24"/>
          <w:rtl/>
        </w:rPr>
        <w:t xml:space="preserve">, זה גם האופן בו מדומיין תפקידו בחזונות החוקתיים השונים </w:t>
      </w:r>
      <w:r w:rsidR="00EC1FA7" w:rsidRPr="00106D3A">
        <w:rPr>
          <w:rFonts w:hint="cs"/>
          <w:sz w:val="24"/>
          <w:rtl/>
        </w:rPr>
        <w:t>שהוצעו ל</w:t>
      </w:r>
      <w:r w:rsidR="00137ABB" w:rsidRPr="00106D3A">
        <w:rPr>
          <w:rFonts w:hint="cs"/>
          <w:sz w:val="24"/>
          <w:rtl/>
        </w:rPr>
        <w:t xml:space="preserve">ישראל. </w:t>
      </w:r>
    </w:p>
    <w:p w:rsidR="00D83BE3" w:rsidRPr="00106D3A" w:rsidRDefault="00117F6D" w:rsidP="00F74E60">
      <w:pPr>
        <w:ind w:firstLine="720"/>
        <w:jc w:val="both"/>
        <w:rPr>
          <w:sz w:val="24"/>
          <w:rtl/>
        </w:rPr>
      </w:pPr>
      <w:r w:rsidRPr="00106D3A">
        <w:rPr>
          <w:rFonts w:hint="cs"/>
          <w:sz w:val="24"/>
          <w:rtl/>
        </w:rPr>
        <w:t xml:space="preserve">יתר על כן, </w:t>
      </w:r>
      <w:r w:rsidR="00F819E6" w:rsidRPr="00106D3A">
        <w:rPr>
          <w:rFonts w:hint="cs"/>
          <w:sz w:val="24"/>
          <w:rtl/>
        </w:rPr>
        <w:t xml:space="preserve">אף שבג"ץ הוא בעל מאפיינים מוסדיים ייחודיים שעשויים לדמותו למערכת דיונית מבוזרת, עדיין אין לו את מלוא המאפיינים המייחדים את ההליך בפני ערכאות הדיון. </w:t>
      </w:r>
      <w:r w:rsidR="00C22497" w:rsidRPr="00106D3A">
        <w:rPr>
          <w:rFonts w:hint="cs"/>
          <w:sz w:val="24"/>
          <w:rtl/>
        </w:rPr>
        <w:t xml:space="preserve">בג"ץ </w:t>
      </w:r>
      <w:r w:rsidR="00C22497" w:rsidRPr="00106D3A">
        <w:rPr>
          <w:rFonts w:hint="cs"/>
          <w:sz w:val="24"/>
          <w:rtl/>
        </w:rPr>
        <w:lastRenderedPageBreak/>
        <w:t xml:space="preserve">אמנם מעדיף לדון בעתירות </w:t>
      </w:r>
      <w:r w:rsidR="00375DAF" w:rsidRPr="00106D3A">
        <w:rPr>
          <w:rFonts w:hint="cs"/>
          <w:sz w:val="24"/>
          <w:rtl/>
        </w:rPr>
        <w:t xml:space="preserve">חוקתיות </w:t>
      </w:r>
      <w:r w:rsidR="00C22497" w:rsidRPr="00106D3A">
        <w:rPr>
          <w:rFonts w:hint="cs"/>
          <w:sz w:val="24"/>
          <w:rtl/>
        </w:rPr>
        <w:t>קונקרטיות,</w:t>
      </w:r>
      <w:r w:rsidR="00C22497" w:rsidRPr="00106D3A">
        <w:rPr>
          <w:rStyle w:val="FootnoteReference"/>
          <w:sz w:val="24"/>
          <w:rtl/>
        </w:rPr>
        <w:footnoteReference w:id="119"/>
      </w:r>
      <w:r w:rsidR="00C22497" w:rsidRPr="00106D3A">
        <w:rPr>
          <w:rFonts w:hint="cs"/>
          <w:sz w:val="24"/>
          <w:rtl/>
        </w:rPr>
        <w:t xml:space="preserve"> אך </w:t>
      </w:r>
      <w:r w:rsidR="00C4299E" w:rsidRPr="00106D3A">
        <w:rPr>
          <w:rFonts w:hint="cs"/>
          <w:sz w:val="24"/>
          <w:rtl/>
        </w:rPr>
        <w:t xml:space="preserve">גם כשהוא עושה זאת לא מתקיימים בו הליכים רגילים של גביית ראיות וחקירת עדים. </w:t>
      </w:r>
      <w:r w:rsidR="002D7E4D" w:rsidRPr="00106D3A">
        <w:rPr>
          <w:rFonts w:hint="cs"/>
          <w:sz w:val="24"/>
          <w:rtl/>
        </w:rPr>
        <w:t>הדבר מטשטש את האופי הנסיבתי של הדיון המשפטי שהוא עורך, ואכן הורגלנו לקרוא בפסקי הדין שלו פרקים נפרדים של "מסגרת נור</w:t>
      </w:r>
      <w:r w:rsidR="00951ED0" w:rsidRPr="00106D3A">
        <w:rPr>
          <w:rFonts w:hint="cs"/>
          <w:sz w:val="24"/>
          <w:rtl/>
        </w:rPr>
        <w:t>מ</w:t>
      </w:r>
      <w:r w:rsidR="002D7E4D" w:rsidRPr="00106D3A">
        <w:rPr>
          <w:rFonts w:hint="cs"/>
          <w:sz w:val="24"/>
          <w:rtl/>
        </w:rPr>
        <w:t xml:space="preserve">טיבית" ושל "יישום לעובדות המקרה". </w:t>
      </w:r>
      <w:r w:rsidR="00951ED0" w:rsidRPr="00106D3A">
        <w:rPr>
          <w:rFonts w:hint="cs"/>
          <w:sz w:val="24"/>
          <w:rtl/>
        </w:rPr>
        <w:t>בג"ץ עוסק בקביעת תקדימים, ולכן נדרש בהכרח לחשוב גם במונחים כלליים</w:t>
      </w:r>
      <w:r w:rsidR="0053123B" w:rsidRPr="00106D3A">
        <w:rPr>
          <w:rFonts w:hint="cs"/>
          <w:sz w:val="24"/>
          <w:rtl/>
        </w:rPr>
        <w:t xml:space="preserve"> ומופשטים</w:t>
      </w:r>
      <w:r w:rsidR="00951ED0" w:rsidRPr="00106D3A">
        <w:rPr>
          <w:rFonts w:hint="cs"/>
          <w:sz w:val="24"/>
          <w:rtl/>
        </w:rPr>
        <w:t xml:space="preserve"> כשהוא פוסק בשאלות חוקתיות. </w:t>
      </w:r>
      <w:r w:rsidR="00EC0059" w:rsidRPr="00106D3A">
        <w:rPr>
          <w:rFonts w:hint="cs"/>
          <w:sz w:val="24"/>
          <w:rtl/>
        </w:rPr>
        <w:t>ההליך ב</w:t>
      </w:r>
      <w:r w:rsidR="003104B3" w:rsidRPr="00106D3A">
        <w:rPr>
          <w:rFonts w:hint="cs"/>
          <w:sz w:val="24"/>
          <w:rtl/>
        </w:rPr>
        <w:t>ערכא</w:t>
      </w:r>
      <w:r w:rsidR="00EC0059" w:rsidRPr="00106D3A">
        <w:rPr>
          <w:rFonts w:hint="cs"/>
          <w:sz w:val="24"/>
          <w:rtl/>
        </w:rPr>
        <w:t>ת הדיון מעוגן הרבה יותר בעובדות המקרה</w:t>
      </w:r>
      <w:r w:rsidR="003104B3" w:rsidRPr="00106D3A">
        <w:rPr>
          <w:rFonts w:hint="cs"/>
          <w:sz w:val="24"/>
          <w:rtl/>
        </w:rPr>
        <w:t xml:space="preserve">, הן משום שהאופן בו מוצגות בפניה הטענות המשפטיות מושפע מנתוני ההליך (כולל </w:t>
      </w:r>
      <w:r w:rsidR="001661F0" w:rsidRPr="00106D3A">
        <w:rPr>
          <w:rFonts w:hint="cs"/>
          <w:sz w:val="24"/>
          <w:rtl/>
        </w:rPr>
        <w:t>מקום ההתדיינות ו</w:t>
      </w:r>
      <w:r w:rsidR="003104B3" w:rsidRPr="00106D3A">
        <w:rPr>
          <w:rFonts w:hint="cs"/>
          <w:sz w:val="24"/>
          <w:rtl/>
        </w:rPr>
        <w:t xml:space="preserve">זהותם של הפרקליטים המייצגים את בעלי הדין המגוונים), והן משום שתוצאת ההליך חלה בראש ובראשונה על הצדדים עצמם. </w:t>
      </w:r>
      <w:proofErr w:type="spellStart"/>
      <w:r w:rsidR="007E6256" w:rsidRPr="00106D3A">
        <w:rPr>
          <w:rFonts w:hint="cs"/>
          <w:sz w:val="24"/>
          <w:rtl/>
        </w:rPr>
        <w:t>ההקשריוּ</w:t>
      </w:r>
      <w:proofErr w:type="spellEnd"/>
      <w:r w:rsidR="007E6256" w:rsidRPr="00106D3A">
        <w:rPr>
          <w:rFonts w:hint="cs"/>
          <w:sz w:val="24"/>
          <w:rtl/>
        </w:rPr>
        <w:t xml:space="preserve">ת המאפיינת את השפיטה בערכאות הדיון, ועלות הטעות הנמוכה הטבועה בהחלטותיהם, מאפשרות להם להיות יצירתיים </w:t>
      </w:r>
      <w:proofErr w:type="spellStart"/>
      <w:r w:rsidR="007E6256" w:rsidRPr="00106D3A">
        <w:rPr>
          <w:rFonts w:hint="cs"/>
          <w:sz w:val="24"/>
          <w:rtl/>
        </w:rPr>
        <w:t>ונסייניים</w:t>
      </w:r>
      <w:proofErr w:type="spellEnd"/>
      <w:r w:rsidR="007E6256" w:rsidRPr="00106D3A">
        <w:rPr>
          <w:rFonts w:hint="cs"/>
          <w:sz w:val="24"/>
          <w:rtl/>
        </w:rPr>
        <w:t xml:space="preserve"> יותר מאשר בית המשפט העליון, אפילו הוא יושב בהרכב</w:t>
      </w:r>
      <w:r w:rsidR="00F74E60" w:rsidRPr="00106D3A">
        <w:rPr>
          <w:rFonts w:hint="cs"/>
          <w:sz w:val="24"/>
          <w:rtl/>
        </w:rPr>
        <w:t xml:space="preserve"> מצומצם.</w:t>
      </w:r>
      <w:r w:rsidR="007E6256" w:rsidRPr="00106D3A">
        <w:rPr>
          <w:rFonts w:hint="cs"/>
          <w:sz w:val="24"/>
          <w:rtl/>
        </w:rPr>
        <w:t xml:space="preserve"> </w:t>
      </w:r>
    </w:p>
    <w:p w:rsidR="00D83BE3" w:rsidRPr="00106D3A" w:rsidRDefault="00D83BE3" w:rsidP="00D83BE3">
      <w:pPr>
        <w:ind w:firstLine="720"/>
        <w:jc w:val="both"/>
        <w:rPr>
          <w:sz w:val="24"/>
          <w:rtl/>
        </w:rPr>
      </w:pPr>
    </w:p>
    <w:p w:rsidR="00FB2A67" w:rsidRPr="00106D3A" w:rsidRDefault="00FB2A67" w:rsidP="007D2D6E">
      <w:pPr>
        <w:pStyle w:val="Heading1"/>
        <w:numPr>
          <w:ilvl w:val="0"/>
          <w:numId w:val="8"/>
        </w:numPr>
        <w:rPr>
          <w:rtl/>
        </w:rPr>
      </w:pPr>
      <w:bookmarkStart w:id="47" w:name="_Toc372223067"/>
      <w:r w:rsidRPr="00106D3A">
        <w:rPr>
          <w:rFonts w:hint="cs"/>
          <w:rtl/>
        </w:rPr>
        <w:t xml:space="preserve">ביקורת שיפוטית ביזורית: היבטים </w:t>
      </w:r>
      <w:r w:rsidR="007E4875" w:rsidRPr="00106D3A">
        <w:rPr>
          <w:rFonts w:hint="cs"/>
          <w:rtl/>
        </w:rPr>
        <w:t>יישומיים</w:t>
      </w:r>
      <w:bookmarkEnd w:id="47"/>
    </w:p>
    <w:p w:rsidR="002C4FD4" w:rsidRPr="00106D3A" w:rsidRDefault="002C4FD4" w:rsidP="002C4FD4">
      <w:pPr>
        <w:ind w:firstLine="720"/>
        <w:jc w:val="both"/>
        <w:rPr>
          <w:sz w:val="24"/>
          <w:rtl/>
        </w:rPr>
      </w:pPr>
      <w:r w:rsidRPr="00106D3A">
        <w:rPr>
          <w:rFonts w:hint="cs"/>
          <w:sz w:val="24"/>
          <w:rtl/>
        </w:rPr>
        <w:t>אם עלה בידי לשכנע בחיוניות</w:t>
      </w:r>
      <w:r w:rsidR="006E5F84" w:rsidRPr="00106D3A">
        <w:rPr>
          <w:rFonts w:hint="cs"/>
          <w:sz w:val="24"/>
          <w:rtl/>
        </w:rPr>
        <w:t xml:space="preserve"> העצמת</w:t>
      </w:r>
      <w:r w:rsidRPr="00106D3A">
        <w:rPr>
          <w:rFonts w:hint="cs"/>
          <w:sz w:val="24"/>
          <w:rtl/>
        </w:rPr>
        <w:t xml:space="preserve">ה של הביקורת השיפוטית הביזורית לשיטה החוקתית הישראלית, הרי שהדבר מעורר שורה של שאלות מעשיות באשר לאופן הפעלתה </w:t>
      </w:r>
      <w:r w:rsidR="007F5E29" w:rsidRPr="00106D3A">
        <w:rPr>
          <w:rFonts w:hint="cs"/>
          <w:sz w:val="24"/>
          <w:rtl/>
        </w:rPr>
        <w:t>בתנאי</w:t>
      </w:r>
      <w:r w:rsidR="009D225D" w:rsidRPr="00106D3A">
        <w:rPr>
          <w:rFonts w:hint="cs"/>
          <w:sz w:val="24"/>
          <w:rtl/>
        </w:rPr>
        <w:t>ם</w:t>
      </w:r>
      <w:r w:rsidR="007F5E29" w:rsidRPr="00106D3A">
        <w:rPr>
          <w:rFonts w:hint="cs"/>
          <w:sz w:val="24"/>
          <w:rtl/>
        </w:rPr>
        <w:t xml:space="preserve"> הקיימים. </w:t>
      </w:r>
      <w:r w:rsidR="007E4875" w:rsidRPr="00106D3A">
        <w:rPr>
          <w:rFonts w:hint="cs"/>
          <w:sz w:val="24"/>
          <w:rtl/>
        </w:rPr>
        <w:t xml:space="preserve">בפרק זה אני מבקש להתייחס לכמה מההיבטים היישומים שהביקורת השיפוטית הביזורית מעוררת, בתקווה שיהיה בכך </w:t>
      </w:r>
      <w:r w:rsidR="004C0991" w:rsidRPr="00106D3A">
        <w:rPr>
          <w:rFonts w:hint="cs"/>
          <w:sz w:val="24"/>
          <w:rtl/>
        </w:rPr>
        <w:t xml:space="preserve">כדי לסייע בהפעלתה למעשה, ולא רק להלכה. </w:t>
      </w:r>
    </w:p>
    <w:p w:rsidR="002C4FD4" w:rsidRPr="00106D3A" w:rsidRDefault="002C4FD4" w:rsidP="00D87D25">
      <w:pPr>
        <w:ind w:firstLine="720"/>
        <w:jc w:val="both"/>
        <w:rPr>
          <w:sz w:val="24"/>
          <w:rtl/>
        </w:rPr>
      </w:pPr>
    </w:p>
    <w:p w:rsidR="00BD0E8E" w:rsidRPr="00106D3A" w:rsidRDefault="00027249" w:rsidP="00D374A3">
      <w:pPr>
        <w:pStyle w:val="Heading2"/>
        <w:numPr>
          <w:ilvl w:val="0"/>
          <w:numId w:val="12"/>
        </w:numPr>
        <w:rPr>
          <w:rtl/>
        </w:rPr>
      </w:pPr>
      <w:bookmarkStart w:id="48" w:name="_Toc372223068"/>
      <w:r w:rsidRPr="00106D3A">
        <w:rPr>
          <w:rFonts w:hint="cs"/>
          <w:rtl/>
        </w:rPr>
        <w:t>איך להשיג את המטרה?</w:t>
      </w:r>
      <w:bookmarkEnd w:id="48"/>
      <w:r w:rsidRPr="00106D3A">
        <w:rPr>
          <w:rFonts w:hint="cs"/>
          <w:rtl/>
        </w:rPr>
        <w:t xml:space="preserve"> </w:t>
      </w:r>
    </w:p>
    <w:p w:rsidR="00FB2A67" w:rsidRPr="00106D3A" w:rsidRDefault="004911DE" w:rsidP="004911DE">
      <w:pPr>
        <w:ind w:firstLine="720"/>
        <w:jc w:val="both"/>
        <w:rPr>
          <w:sz w:val="24"/>
          <w:rtl/>
        </w:rPr>
      </w:pPr>
      <w:r w:rsidRPr="00106D3A">
        <w:rPr>
          <w:rFonts w:hint="cs"/>
          <w:sz w:val="24"/>
          <w:rtl/>
        </w:rPr>
        <w:t>כזכור, שיטת ה</w:t>
      </w:r>
      <w:r w:rsidR="00C3097B" w:rsidRPr="00106D3A">
        <w:rPr>
          <w:rFonts w:hint="cs"/>
          <w:sz w:val="24"/>
          <w:rtl/>
        </w:rPr>
        <w:t xml:space="preserve">ביקורת </w:t>
      </w:r>
      <w:r w:rsidRPr="00106D3A">
        <w:rPr>
          <w:rFonts w:hint="cs"/>
          <w:sz w:val="24"/>
          <w:rtl/>
        </w:rPr>
        <w:t>ה</w:t>
      </w:r>
      <w:r w:rsidR="00C3097B" w:rsidRPr="00106D3A">
        <w:rPr>
          <w:rFonts w:hint="cs"/>
          <w:sz w:val="24"/>
          <w:rtl/>
        </w:rPr>
        <w:t xml:space="preserve">שיפוטית </w:t>
      </w:r>
      <w:r w:rsidRPr="00106D3A">
        <w:rPr>
          <w:rFonts w:hint="cs"/>
          <w:sz w:val="24"/>
          <w:rtl/>
        </w:rPr>
        <w:t xml:space="preserve">הישראלית </w:t>
      </w:r>
      <w:r w:rsidR="00C3097B" w:rsidRPr="00106D3A">
        <w:rPr>
          <w:rFonts w:hint="cs"/>
          <w:sz w:val="24"/>
          <w:rtl/>
        </w:rPr>
        <w:t>כוללת להלכה את היסוד הביזורי</w:t>
      </w:r>
      <w:r w:rsidR="00363549" w:rsidRPr="00106D3A">
        <w:rPr>
          <w:rFonts w:hint="cs"/>
          <w:sz w:val="24"/>
          <w:rtl/>
        </w:rPr>
        <w:t xml:space="preserve">. הקושי </w:t>
      </w:r>
      <w:r w:rsidR="00C3097B" w:rsidRPr="00106D3A">
        <w:rPr>
          <w:rFonts w:hint="cs"/>
          <w:sz w:val="24"/>
          <w:rtl/>
        </w:rPr>
        <w:t xml:space="preserve">נובע מכך </w:t>
      </w:r>
      <w:r w:rsidR="00C40FF9" w:rsidRPr="00106D3A">
        <w:rPr>
          <w:rFonts w:hint="cs"/>
          <w:sz w:val="24"/>
          <w:rtl/>
        </w:rPr>
        <w:t>שהשחקנים השונים המעורבים</w:t>
      </w:r>
      <w:r w:rsidR="00C3097B" w:rsidRPr="00106D3A">
        <w:rPr>
          <w:rFonts w:hint="cs"/>
          <w:sz w:val="24"/>
          <w:rtl/>
        </w:rPr>
        <w:t xml:space="preserve"> בהליך החוקתי </w:t>
      </w:r>
      <w:r w:rsidR="00C3097B" w:rsidRPr="00106D3A">
        <w:rPr>
          <w:sz w:val="24"/>
          <w:rtl/>
        </w:rPr>
        <w:t>–</w:t>
      </w:r>
      <w:r w:rsidR="00C3097B" w:rsidRPr="00106D3A">
        <w:rPr>
          <w:rFonts w:hint="cs"/>
          <w:sz w:val="24"/>
          <w:rtl/>
        </w:rPr>
        <w:t xml:space="preserve"> בדגש על שופטי ערכאות הדיון ועל </w:t>
      </w:r>
      <w:r w:rsidR="00567DF0" w:rsidRPr="00106D3A">
        <w:rPr>
          <w:rFonts w:hint="cs"/>
          <w:sz w:val="24"/>
          <w:rtl/>
        </w:rPr>
        <w:t xml:space="preserve">בעלי הדין והמייצגים אותם </w:t>
      </w:r>
      <w:r w:rsidR="00CB5ED4" w:rsidRPr="00106D3A">
        <w:rPr>
          <w:sz w:val="24"/>
          <w:rtl/>
        </w:rPr>
        <w:t>–</w:t>
      </w:r>
      <w:r w:rsidR="00567DF0" w:rsidRPr="00106D3A">
        <w:rPr>
          <w:rFonts w:hint="cs"/>
          <w:sz w:val="24"/>
          <w:rtl/>
        </w:rPr>
        <w:t xml:space="preserve"> </w:t>
      </w:r>
      <w:r w:rsidR="001B32A1" w:rsidRPr="00106D3A">
        <w:rPr>
          <w:rFonts w:hint="cs"/>
          <w:sz w:val="24"/>
          <w:rtl/>
        </w:rPr>
        <w:t>התרגלו לדומיננטיות של המשטר החלופי, הריכוזי</w:t>
      </w:r>
      <w:r w:rsidR="009D54E9" w:rsidRPr="00106D3A">
        <w:rPr>
          <w:rFonts w:hint="cs"/>
          <w:sz w:val="24"/>
          <w:rtl/>
        </w:rPr>
        <w:t xml:space="preserve">, </w:t>
      </w:r>
      <w:r w:rsidR="00C40FF9" w:rsidRPr="00106D3A">
        <w:rPr>
          <w:rFonts w:hint="cs"/>
          <w:sz w:val="24"/>
          <w:rtl/>
        </w:rPr>
        <w:t>והם אינם</w:t>
      </w:r>
      <w:r w:rsidR="00CB5ED4" w:rsidRPr="00106D3A">
        <w:rPr>
          <w:rFonts w:hint="cs"/>
          <w:sz w:val="24"/>
          <w:rtl/>
        </w:rPr>
        <w:t xml:space="preserve"> מממשים את </w:t>
      </w:r>
      <w:r w:rsidR="00A32777" w:rsidRPr="00106D3A">
        <w:rPr>
          <w:rFonts w:hint="cs"/>
          <w:sz w:val="24"/>
          <w:rtl/>
        </w:rPr>
        <w:t>האפשרות</w:t>
      </w:r>
      <w:r w:rsidR="00CB5ED4" w:rsidRPr="00106D3A">
        <w:rPr>
          <w:rFonts w:hint="cs"/>
          <w:sz w:val="24"/>
          <w:rtl/>
        </w:rPr>
        <w:t xml:space="preserve"> ה</w:t>
      </w:r>
      <w:r w:rsidR="009D54E9" w:rsidRPr="00106D3A">
        <w:rPr>
          <w:rFonts w:hint="cs"/>
          <w:sz w:val="24"/>
          <w:rtl/>
        </w:rPr>
        <w:t>ביזורית</w:t>
      </w:r>
      <w:r w:rsidR="00CB5ED4" w:rsidRPr="00106D3A">
        <w:rPr>
          <w:rFonts w:hint="cs"/>
          <w:sz w:val="24"/>
          <w:rtl/>
        </w:rPr>
        <w:t xml:space="preserve">, בין כי הם סוברים שהיא אינה זמינה להם למעשה, ובין כי הם </w:t>
      </w:r>
      <w:r w:rsidR="00D87D25" w:rsidRPr="00106D3A">
        <w:rPr>
          <w:rFonts w:hint="cs"/>
          <w:sz w:val="24"/>
          <w:rtl/>
        </w:rPr>
        <w:t>נרתעים</w:t>
      </w:r>
      <w:r w:rsidR="00CB5ED4" w:rsidRPr="00106D3A">
        <w:rPr>
          <w:rFonts w:hint="cs"/>
          <w:sz w:val="24"/>
          <w:rtl/>
        </w:rPr>
        <w:t xml:space="preserve"> מהפעלתה.</w:t>
      </w:r>
      <w:r w:rsidR="00D87D25" w:rsidRPr="00106D3A">
        <w:rPr>
          <w:rFonts w:hint="cs"/>
          <w:sz w:val="24"/>
          <w:rtl/>
        </w:rPr>
        <w:t xml:space="preserve"> </w:t>
      </w:r>
      <w:r w:rsidR="00363549" w:rsidRPr="00106D3A">
        <w:rPr>
          <w:rFonts w:hint="cs"/>
          <w:sz w:val="24"/>
          <w:rtl/>
        </w:rPr>
        <w:t xml:space="preserve">האתגר הראשוני הוא אפוא </w:t>
      </w:r>
      <w:r w:rsidR="00CC63E2" w:rsidRPr="00106D3A">
        <w:rPr>
          <w:rFonts w:hint="cs"/>
          <w:sz w:val="24"/>
          <w:rtl/>
        </w:rPr>
        <w:t xml:space="preserve">לשנות את התפיסות הקיימות </w:t>
      </w:r>
      <w:r w:rsidR="009D225D" w:rsidRPr="00106D3A">
        <w:rPr>
          <w:rFonts w:hint="cs"/>
          <w:sz w:val="24"/>
          <w:rtl/>
        </w:rPr>
        <w:t xml:space="preserve">ולעודד את השימוש במסלול הביזורי. </w:t>
      </w:r>
      <w:r w:rsidR="003D20B1" w:rsidRPr="00106D3A">
        <w:rPr>
          <w:rFonts w:hint="cs"/>
          <w:sz w:val="24"/>
          <w:rtl/>
        </w:rPr>
        <w:t>ניתן לה</w:t>
      </w:r>
      <w:r w:rsidR="005D3A4C" w:rsidRPr="00106D3A">
        <w:rPr>
          <w:rFonts w:hint="cs"/>
          <w:sz w:val="24"/>
          <w:rtl/>
        </w:rPr>
        <w:t xml:space="preserve">שיג מטרה זו בכמה דרכים, המשקפות רמות שונות של אקטיביזם חוקתי. </w:t>
      </w:r>
    </w:p>
    <w:p w:rsidR="00F21608" w:rsidRPr="00106D3A" w:rsidRDefault="00F21608" w:rsidP="00902ADD">
      <w:pPr>
        <w:ind w:firstLine="720"/>
        <w:jc w:val="both"/>
        <w:rPr>
          <w:sz w:val="24"/>
          <w:rtl/>
        </w:rPr>
      </w:pPr>
      <w:r w:rsidRPr="00106D3A">
        <w:rPr>
          <w:rFonts w:hint="cs"/>
          <w:b/>
          <w:bCs/>
          <w:sz w:val="24"/>
          <w:rtl/>
        </w:rPr>
        <w:t>ביטול הביקורת השיפוטית הריכוזית</w:t>
      </w:r>
      <w:r w:rsidRPr="00106D3A">
        <w:rPr>
          <w:rFonts w:hint="cs"/>
          <w:sz w:val="24"/>
          <w:rtl/>
        </w:rPr>
        <w:t xml:space="preserve">. </w:t>
      </w:r>
      <w:r w:rsidR="004911DE" w:rsidRPr="00106D3A">
        <w:rPr>
          <w:rFonts w:hint="cs"/>
          <w:sz w:val="24"/>
          <w:rtl/>
        </w:rPr>
        <w:t xml:space="preserve">המהלך הקיצוני ביותר הוא כמובן ביטול היסוד הריכוזי במערכת החוקתית הישראלית, כלומר שלילת סמכותו של בג"ץ </w:t>
      </w:r>
      <w:r w:rsidR="004911DE" w:rsidRPr="00106D3A">
        <w:rPr>
          <w:sz w:val="24"/>
          <w:rtl/>
        </w:rPr>
        <w:t>–</w:t>
      </w:r>
      <w:r w:rsidR="004911DE" w:rsidRPr="00106D3A">
        <w:rPr>
          <w:rFonts w:hint="cs"/>
          <w:sz w:val="24"/>
          <w:rtl/>
        </w:rPr>
        <w:t xml:space="preserve"> בג"ץ בלבד </w:t>
      </w:r>
      <w:r w:rsidR="004911DE" w:rsidRPr="00106D3A">
        <w:rPr>
          <w:sz w:val="24"/>
          <w:rtl/>
        </w:rPr>
        <w:t>–</w:t>
      </w:r>
      <w:r w:rsidR="004911DE" w:rsidRPr="00106D3A">
        <w:rPr>
          <w:rFonts w:hint="cs"/>
          <w:sz w:val="24"/>
          <w:rtl/>
        </w:rPr>
        <w:t xml:space="preserve"> לבצע ביקורת שיפוטית חוקתית</w:t>
      </w:r>
      <w:r w:rsidR="00B33946" w:rsidRPr="00106D3A">
        <w:rPr>
          <w:rFonts w:hint="cs"/>
          <w:sz w:val="24"/>
          <w:rtl/>
        </w:rPr>
        <w:t>, תוך הותרת הסמכות הקיימת למסלול הביזורי המתחיל בערכאות הדיון ומסתיים בבית המשפט העליון בשבתו כבית משפט גבוה לערעורים</w:t>
      </w:r>
      <w:r w:rsidR="004911DE" w:rsidRPr="00106D3A">
        <w:rPr>
          <w:rFonts w:hint="cs"/>
          <w:sz w:val="24"/>
          <w:rtl/>
        </w:rPr>
        <w:t xml:space="preserve">. </w:t>
      </w:r>
      <w:r w:rsidR="00C20D34" w:rsidRPr="00106D3A">
        <w:rPr>
          <w:rFonts w:hint="cs"/>
          <w:sz w:val="24"/>
          <w:rtl/>
        </w:rPr>
        <w:t>מהלך כזה חייב להתבצע ב</w:t>
      </w:r>
      <w:r w:rsidR="009B1517" w:rsidRPr="00106D3A">
        <w:rPr>
          <w:rFonts w:hint="cs"/>
          <w:sz w:val="24"/>
          <w:rtl/>
        </w:rPr>
        <w:t xml:space="preserve">תיקון </w:t>
      </w:r>
      <w:r w:rsidR="00C20D34" w:rsidRPr="00106D3A">
        <w:rPr>
          <w:rFonts w:hint="cs"/>
          <w:sz w:val="24"/>
          <w:rtl/>
        </w:rPr>
        <w:t xml:space="preserve">חוק-יסוד: </w:t>
      </w:r>
      <w:r w:rsidR="009B1517" w:rsidRPr="00106D3A">
        <w:rPr>
          <w:rFonts w:hint="cs"/>
          <w:sz w:val="24"/>
          <w:rtl/>
        </w:rPr>
        <w:t>השפיטה, שהוא הקובע את סמכות בית המשפט העליון</w:t>
      </w:r>
      <w:r w:rsidR="008E66F5" w:rsidRPr="00106D3A">
        <w:rPr>
          <w:rFonts w:hint="cs"/>
          <w:sz w:val="24"/>
          <w:rtl/>
        </w:rPr>
        <w:t>,</w:t>
      </w:r>
      <w:r w:rsidR="007B045C" w:rsidRPr="00106D3A">
        <w:rPr>
          <w:rStyle w:val="FootnoteReference"/>
          <w:sz w:val="24"/>
          <w:rtl/>
        </w:rPr>
        <w:footnoteReference w:id="120"/>
      </w:r>
      <w:r w:rsidR="008E66F5" w:rsidRPr="00106D3A">
        <w:rPr>
          <w:rFonts w:hint="cs"/>
          <w:sz w:val="24"/>
          <w:rtl/>
        </w:rPr>
        <w:t xml:space="preserve"> והוא יכול לחול על כל תחומי הביקורת השיפוטית, או רק על סוגים מסוימים של עניינים שהכנסת תראה לנכון להעבירם למסלול הביזורי, בדומה למהלך שנעשה עם הקמת בתי המשפט לעניינים מנהליים.</w:t>
      </w:r>
      <w:r w:rsidR="009B1517" w:rsidRPr="00106D3A">
        <w:rPr>
          <w:rFonts w:hint="cs"/>
          <w:sz w:val="24"/>
          <w:rtl/>
        </w:rPr>
        <w:t xml:space="preserve"> </w:t>
      </w:r>
      <w:r w:rsidR="00B33946" w:rsidRPr="00106D3A">
        <w:rPr>
          <w:rFonts w:hint="cs"/>
          <w:sz w:val="24"/>
          <w:rtl/>
        </w:rPr>
        <w:t xml:space="preserve">אין בכך קושי פורמאלי של ממש, שכן חוק-היסוד אינו משוריין מפני שינוי </w:t>
      </w:r>
      <w:r w:rsidR="00AF7B34" w:rsidRPr="00106D3A">
        <w:rPr>
          <w:rFonts w:hint="cs"/>
          <w:sz w:val="24"/>
          <w:rtl/>
        </w:rPr>
        <w:t>כך ש</w:t>
      </w:r>
      <w:r w:rsidR="0091107B" w:rsidRPr="00106D3A">
        <w:rPr>
          <w:rFonts w:hint="cs"/>
          <w:sz w:val="24"/>
          <w:rtl/>
        </w:rPr>
        <w:t xml:space="preserve">הליך חקיקה רגיל יכול להביא </w:t>
      </w:r>
      <w:r w:rsidR="00902ADD" w:rsidRPr="00106D3A">
        <w:rPr>
          <w:rFonts w:hint="cs"/>
          <w:sz w:val="24"/>
          <w:rtl/>
        </w:rPr>
        <w:t>ל</w:t>
      </w:r>
      <w:r w:rsidR="0091107B" w:rsidRPr="00106D3A">
        <w:rPr>
          <w:rFonts w:hint="cs"/>
          <w:sz w:val="24"/>
          <w:rtl/>
        </w:rPr>
        <w:t>שינוי</w:t>
      </w:r>
      <w:r w:rsidR="00902ADD" w:rsidRPr="00106D3A">
        <w:rPr>
          <w:rFonts w:hint="cs"/>
          <w:sz w:val="24"/>
          <w:rtl/>
        </w:rPr>
        <w:t>ו</w:t>
      </w:r>
      <w:r w:rsidR="0091107B" w:rsidRPr="00106D3A">
        <w:rPr>
          <w:rFonts w:hint="cs"/>
          <w:sz w:val="24"/>
          <w:rtl/>
        </w:rPr>
        <w:t xml:space="preserve">. </w:t>
      </w:r>
    </w:p>
    <w:p w:rsidR="0091107B" w:rsidRPr="00106D3A" w:rsidRDefault="00B01013" w:rsidP="00F21608">
      <w:pPr>
        <w:ind w:firstLine="720"/>
        <w:jc w:val="both"/>
        <w:rPr>
          <w:sz w:val="24"/>
          <w:rtl/>
        </w:rPr>
      </w:pPr>
      <w:r w:rsidRPr="00106D3A">
        <w:rPr>
          <w:rFonts w:hint="cs"/>
          <w:sz w:val="24"/>
          <w:rtl/>
        </w:rPr>
        <w:t>אך מובן ש</w:t>
      </w:r>
      <w:r w:rsidR="00B20552" w:rsidRPr="00106D3A">
        <w:rPr>
          <w:rFonts w:hint="cs"/>
          <w:sz w:val="24"/>
          <w:rtl/>
        </w:rPr>
        <w:t xml:space="preserve">זה אינו </w:t>
      </w:r>
      <w:r w:rsidRPr="00106D3A">
        <w:rPr>
          <w:rFonts w:hint="cs"/>
          <w:sz w:val="24"/>
          <w:rtl/>
        </w:rPr>
        <w:t xml:space="preserve">תרחיש סביר, והוא </w:t>
      </w:r>
      <w:r w:rsidR="009C5B19" w:rsidRPr="00106D3A">
        <w:rPr>
          <w:rFonts w:hint="cs"/>
          <w:sz w:val="24"/>
          <w:rtl/>
        </w:rPr>
        <w:t xml:space="preserve">כנראה </w:t>
      </w:r>
      <w:r w:rsidRPr="00106D3A">
        <w:rPr>
          <w:rFonts w:hint="cs"/>
          <w:sz w:val="24"/>
          <w:rtl/>
        </w:rPr>
        <w:t xml:space="preserve">גם לא רצוי. ביום בו הכנסת תתכנס </w:t>
      </w:r>
      <w:r w:rsidR="001B07C5" w:rsidRPr="00106D3A">
        <w:rPr>
          <w:rFonts w:hint="cs"/>
          <w:sz w:val="24"/>
          <w:rtl/>
        </w:rPr>
        <w:t xml:space="preserve">לצמצם את סמכות הביקורת השיפוטית, ספק אם היא תעשה זאת </w:t>
      </w:r>
      <w:r w:rsidR="00B20552" w:rsidRPr="00106D3A">
        <w:rPr>
          <w:rFonts w:hint="cs"/>
          <w:sz w:val="24"/>
          <w:rtl/>
        </w:rPr>
        <w:t xml:space="preserve">רק כדי להעביר כוח מבית המשפט העליון לערכאות הדיון. </w:t>
      </w:r>
      <w:r w:rsidR="008D2849" w:rsidRPr="00106D3A">
        <w:rPr>
          <w:rFonts w:hint="cs"/>
          <w:sz w:val="24"/>
          <w:rtl/>
        </w:rPr>
        <w:t>מעבר לכך, בהתחשב בהתלבטות ה</w:t>
      </w:r>
      <w:r w:rsidR="00165135" w:rsidRPr="00106D3A">
        <w:rPr>
          <w:rFonts w:hint="cs"/>
          <w:sz w:val="24"/>
          <w:rtl/>
        </w:rPr>
        <w:t>קיימת בערכאות הדיון ביחס לסמכותן</w:t>
      </w:r>
      <w:r w:rsidR="008D2849" w:rsidRPr="00106D3A">
        <w:rPr>
          <w:rFonts w:hint="cs"/>
          <w:sz w:val="24"/>
          <w:rtl/>
        </w:rPr>
        <w:t xml:space="preserve"> לבצע ביקורת שיפוטית גם כיום, ניתן לצפות שתיקון חקיקתי שישלול את הסמכות מבג"ץ יתפרש כמסר חמור עוד יותר נגד השימוש בה בערכאות הנמוכות.</w:t>
      </w:r>
      <w:r w:rsidR="007424DB" w:rsidRPr="00106D3A">
        <w:rPr>
          <w:rFonts w:hint="cs"/>
          <w:sz w:val="24"/>
          <w:rtl/>
        </w:rPr>
        <w:t xml:space="preserve"> אמנם הכנסת יכולה </w:t>
      </w:r>
      <w:r w:rsidR="007424DB" w:rsidRPr="00106D3A">
        <w:rPr>
          <w:rFonts w:hint="cs"/>
          <w:sz w:val="24"/>
          <w:rtl/>
        </w:rPr>
        <w:lastRenderedPageBreak/>
        <w:t xml:space="preserve">כחלק מאותו מהלך לאמץ באופן מפורש את המודל הביזורי ולציין בחקיקה את הסמכות </w:t>
      </w:r>
      <w:r w:rsidR="001A423C" w:rsidRPr="00106D3A">
        <w:rPr>
          <w:rFonts w:hint="cs"/>
          <w:sz w:val="24"/>
          <w:rtl/>
        </w:rPr>
        <w:t>לביקורת שיפוטית חוקתית בערכאות הדיון</w:t>
      </w:r>
      <w:r w:rsidR="00A86D37">
        <w:rPr>
          <w:rFonts w:hint="cs"/>
          <w:sz w:val="24"/>
          <w:rtl/>
        </w:rPr>
        <w:t xml:space="preserve"> ובמסלול הערעור</w:t>
      </w:r>
      <w:r w:rsidR="001A423C" w:rsidRPr="00106D3A">
        <w:rPr>
          <w:rFonts w:hint="cs"/>
          <w:sz w:val="24"/>
          <w:rtl/>
        </w:rPr>
        <w:t xml:space="preserve">; אך גם אפשרות זו נראית לא סבירה בתנאים הפוליטיים הקיימים </w:t>
      </w:r>
      <w:r w:rsidR="0096771C" w:rsidRPr="00106D3A">
        <w:rPr>
          <w:sz w:val="24"/>
          <w:rtl/>
        </w:rPr>
        <w:t>–</w:t>
      </w:r>
      <w:r w:rsidR="0096771C" w:rsidRPr="00106D3A">
        <w:rPr>
          <w:rFonts w:hint="cs"/>
          <w:sz w:val="24"/>
          <w:rtl/>
        </w:rPr>
        <w:t xml:space="preserve"> וכאמור אף טיוטה חוקתית שעסקה בנושאים אלה לא פנתה לכיוון הזה. </w:t>
      </w:r>
    </w:p>
    <w:p w:rsidR="00711518" w:rsidRPr="00106D3A" w:rsidRDefault="003A1B05" w:rsidP="004C453E">
      <w:pPr>
        <w:ind w:firstLine="720"/>
        <w:jc w:val="both"/>
        <w:rPr>
          <w:sz w:val="24"/>
          <w:rtl/>
        </w:rPr>
      </w:pPr>
      <w:r w:rsidRPr="00106D3A">
        <w:rPr>
          <w:rFonts w:hint="cs"/>
          <w:b/>
          <w:bCs/>
          <w:sz w:val="24"/>
          <w:rtl/>
        </w:rPr>
        <w:t>פיתוח דוקטרינת-</w:t>
      </w:r>
      <w:r w:rsidR="00941B8E" w:rsidRPr="00106D3A">
        <w:rPr>
          <w:rFonts w:hint="cs"/>
          <w:b/>
          <w:bCs/>
          <w:sz w:val="24"/>
          <w:rtl/>
        </w:rPr>
        <w:t>סף</w:t>
      </w:r>
      <w:r w:rsidR="004C453E" w:rsidRPr="00106D3A">
        <w:rPr>
          <w:rFonts w:hint="cs"/>
          <w:b/>
          <w:bCs/>
          <w:sz w:val="24"/>
          <w:rtl/>
        </w:rPr>
        <w:t xml:space="preserve"> </w:t>
      </w:r>
      <w:r w:rsidR="00941B8E" w:rsidRPr="00106D3A">
        <w:rPr>
          <w:rFonts w:hint="cs"/>
          <w:b/>
          <w:bCs/>
          <w:sz w:val="24"/>
          <w:rtl/>
        </w:rPr>
        <w:t>בבג"ץ</w:t>
      </w:r>
      <w:r w:rsidR="00941B8E" w:rsidRPr="00106D3A">
        <w:rPr>
          <w:rFonts w:hint="cs"/>
          <w:sz w:val="24"/>
          <w:rtl/>
        </w:rPr>
        <w:t xml:space="preserve">. </w:t>
      </w:r>
      <w:r w:rsidR="00D879EB" w:rsidRPr="00106D3A">
        <w:rPr>
          <w:rFonts w:hint="cs"/>
          <w:sz w:val="24"/>
          <w:rtl/>
        </w:rPr>
        <w:t xml:space="preserve">החלופה הסבירה והמעשית יותר </w:t>
      </w:r>
      <w:r w:rsidR="00AD5AC9" w:rsidRPr="00106D3A">
        <w:rPr>
          <w:rFonts w:hint="cs"/>
          <w:sz w:val="24"/>
          <w:rtl/>
        </w:rPr>
        <w:t>היא שבית המשפט העליון ייקח על עצמו את המשימה של העצמת ערכאות הדיון בתחום החוקתי. כפי שראינו</w:t>
      </w:r>
      <w:r w:rsidR="004439D4" w:rsidRPr="00106D3A">
        <w:rPr>
          <w:rFonts w:hint="cs"/>
          <w:sz w:val="24"/>
          <w:rtl/>
        </w:rPr>
        <w:t>, מכל הגורמים המעורבים בעניין, בג"ץ הוא אולי המוסד העקבי ביותר בהכרתו ביסוד הביזורי בשיטתנו.</w:t>
      </w:r>
      <w:r w:rsidR="00EA194A" w:rsidRPr="00106D3A">
        <w:rPr>
          <w:rFonts w:hint="cs"/>
          <w:sz w:val="24"/>
          <w:rtl/>
        </w:rPr>
        <w:t xml:space="preserve"> </w:t>
      </w:r>
      <w:r w:rsidR="00B356FF" w:rsidRPr="00106D3A">
        <w:rPr>
          <w:rFonts w:hint="cs"/>
          <w:sz w:val="24"/>
          <w:rtl/>
        </w:rPr>
        <w:t xml:space="preserve">באמצעות </w:t>
      </w:r>
      <w:r w:rsidR="00551C2A" w:rsidRPr="00106D3A">
        <w:rPr>
          <w:rFonts w:hint="cs"/>
          <w:sz w:val="24"/>
          <w:rtl/>
        </w:rPr>
        <w:t xml:space="preserve">עילת הסף בדבר קיומו של סעד חלופי, בוחר בג"ץ מעת לעת שלא לדון בעתירה ישירה ותחת זאת לשלוח את העותרים להעלאת הטענה במסלול הביזורי. </w:t>
      </w:r>
      <w:r w:rsidR="00EA194A" w:rsidRPr="00106D3A">
        <w:rPr>
          <w:rFonts w:hint="cs"/>
          <w:sz w:val="24"/>
          <w:rtl/>
        </w:rPr>
        <w:t xml:space="preserve">אלא שקשה עדיין לחלץ דוקטרינה בהירה מהמקרים השונים בהם בחר </w:t>
      </w:r>
      <w:r w:rsidR="00E05410" w:rsidRPr="00106D3A">
        <w:rPr>
          <w:rFonts w:hint="cs"/>
          <w:sz w:val="24"/>
          <w:rtl/>
        </w:rPr>
        <w:t>בית המשפט העליון</w:t>
      </w:r>
      <w:r w:rsidR="00551C2A" w:rsidRPr="00106D3A">
        <w:rPr>
          <w:rFonts w:hint="cs"/>
          <w:sz w:val="24"/>
          <w:rtl/>
        </w:rPr>
        <w:t xml:space="preserve"> לעשות זאת. </w:t>
      </w:r>
      <w:r w:rsidR="00671222" w:rsidRPr="00106D3A">
        <w:rPr>
          <w:rFonts w:hint="cs"/>
          <w:sz w:val="24"/>
          <w:rtl/>
        </w:rPr>
        <w:t xml:space="preserve">לעתים הרושם הוא שמדובר בטענה פעוטה </w:t>
      </w:r>
      <w:r w:rsidR="008000E4" w:rsidRPr="00106D3A">
        <w:rPr>
          <w:rFonts w:hint="cs"/>
          <w:sz w:val="24"/>
          <w:rtl/>
        </w:rPr>
        <w:t xml:space="preserve">או לא מבוססת </w:t>
      </w:r>
      <w:r w:rsidR="00671222" w:rsidRPr="00106D3A">
        <w:rPr>
          <w:rFonts w:hint="cs"/>
          <w:sz w:val="24"/>
          <w:rtl/>
        </w:rPr>
        <w:t xml:space="preserve">מבחינה משפטית (כמו </w:t>
      </w:r>
      <w:r w:rsidR="008000E4" w:rsidRPr="00106D3A">
        <w:rPr>
          <w:rFonts w:hint="cs"/>
          <w:sz w:val="24"/>
          <w:rtl/>
        </w:rPr>
        <w:t xml:space="preserve">בפרשות </w:t>
      </w:r>
      <w:proofErr w:type="spellStart"/>
      <w:r w:rsidR="00671222" w:rsidRPr="00106D3A">
        <w:rPr>
          <w:rFonts w:hint="cs"/>
          <w:sz w:val="24"/>
          <w:rtl/>
        </w:rPr>
        <w:t>הנדלמן</w:t>
      </w:r>
      <w:proofErr w:type="spellEnd"/>
      <w:r w:rsidR="008000E4" w:rsidRPr="00106D3A">
        <w:rPr>
          <w:rFonts w:hint="cs"/>
          <w:sz w:val="24"/>
          <w:rtl/>
        </w:rPr>
        <w:t xml:space="preserve"> או </w:t>
      </w:r>
      <w:proofErr w:type="spellStart"/>
      <w:r w:rsidR="008000E4" w:rsidRPr="00106D3A">
        <w:rPr>
          <w:rFonts w:hint="cs"/>
          <w:sz w:val="24"/>
          <w:rtl/>
        </w:rPr>
        <w:t>לקסר</w:t>
      </w:r>
      <w:proofErr w:type="spellEnd"/>
      <w:r w:rsidR="00671222" w:rsidRPr="00106D3A">
        <w:rPr>
          <w:rFonts w:hint="cs"/>
          <w:sz w:val="24"/>
          <w:rtl/>
        </w:rPr>
        <w:t>),</w:t>
      </w:r>
      <w:r w:rsidR="008000E4" w:rsidRPr="00106D3A">
        <w:rPr>
          <w:rStyle w:val="FootnoteReference"/>
          <w:sz w:val="24"/>
          <w:rtl/>
        </w:rPr>
        <w:footnoteReference w:id="121"/>
      </w:r>
      <w:r w:rsidR="00671222" w:rsidRPr="00106D3A">
        <w:rPr>
          <w:rFonts w:hint="cs"/>
          <w:sz w:val="24"/>
          <w:rtl/>
        </w:rPr>
        <w:t xml:space="preserve"> ואולי בטענה שתתייתר עד להתבררותה </w:t>
      </w:r>
      <w:r w:rsidR="00175125" w:rsidRPr="00106D3A">
        <w:rPr>
          <w:rFonts w:hint="cs"/>
          <w:sz w:val="24"/>
          <w:rtl/>
        </w:rPr>
        <w:t xml:space="preserve">בהליך </w:t>
      </w:r>
      <w:proofErr w:type="spellStart"/>
      <w:r w:rsidR="00175125" w:rsidRPr="00106D3A">
        <w:rPr>
          <w:rFonts w:hint="cs"/>
          <w:sz w:val="24"/>
          <w:rtl/>
        </w:rPr>
        <w:t>הביזורי</w:t>
      </w:r>
      <w:proofErr w:type="spellEnd"/>
      <w:r w:rsidR="00175125" w:rsidRPr="00106D3A">
        <w:rPr>
          <w:rFonts w:hint="cs"/>
          <w:sz w:val="24"/>
          <w:rtl/>
        </w:rPr>
        <w:t xml:space="preserve"> (כמו בפרשות </w:t>
      </w:r>
      <w:proofErr w:type="spellStart"/>
      <w:r w:rsidR="00175125" w:rsidRPr="00106D3A">
        <w:rPr>
          <w:rFonts w:hint="cs"/>
          <w:sz w:val="24"/>
          <w:rtl/>
        </w:rPr>
        <w:t>לובל</w:t>
      </w:r>
      <w:proofErr w:type="spellEnd"/>
      <w:r w:rsidR="00175125" w:rsidRPr="00106D3A">
        <w:rPr>
          <w:rFonts w:hint="cs"/>
          <w:sz w:val="24"/>
          <w:rtl/>
        </w:rPr>
        <w:t xml:space="preserve"> או </w:t>
      </w:r>
      <w:proofErr w:type="spellStart"/>
      <w:r w:rsidR="00175125" w:rsidRPr="00106D3A">
        <w:rPr>
          <w:rFonts w:hint="cs"/>
          <w:sz w:val="24"/>
          <w:rtl/>
        </w:rPr>
        <w:t>עבייד</w:t>
      </w:r>
      <w:proofErr w:type="spellEnd"/>
      <w:r w:rsidR="00671222" w:rsidRPr="00106D3A">
        <w:rPr>
          <w:rFonts w:hint="cs"/>
          <w:sz w:val="24"/>
          <w:rtl/>
        </w:rPr>
        <w:t>)</w:t>
      </w:r>
      <w:r w:rsidR="00E1448C" w:rsidRPr="00106D3A">
        <w:rPr>
          <w:rFonts w:hint="cs"/>
          <w:sz w:val="24"/>
          <w:rtl/>
        </w:rPr>
        <w:t>.</w:t>
      </w:r>
      <w:r w:rsidR="00E1448C" w:rsidRPr="00106D3A">
        <w:rPr>
          <w:rStyle w:val="FootnoteReference"/>
          <w:sz w:val="24"/>
          <w:rtl/>
        </w:rPr>
        <w:footnoteReference w:id="122"/>
      </w:r>
      <w:r w:rsidR="00175125" w:rsidRPr="00106D3A">
        <w:rPr>
          <w:rFonts w:hint="cs"/>
          <w:sz w:val="24"/>
          <w:rtl/>
        </w:rPr>
        <w:t xml:space="preserve"> </w:t>
      </w:r>
      <w:r w:rsidR="00496F22" w:rsidRPr="00106D3A">
        <w:rPr>
          <w:rFonts w:hint="cs"/>
          <w:sz w:val="24"/>
          <w:rtl/>
        </w:rPr>
        <w:t xml:space="preserve">ברוב המקרים, עם זאת, בית המשפט </w:t>
      </w:r>
      <w:r w:rsidR="00EB3673" w:rsidRPr="00106D3A">
        <w:rPr>
          <w:rFonts w:hint="cs"/>
          <w:sz w:val="24"/>
          <w:rtl/>
        </w:rPr>
        <w:t xml:space="preserve">העליון פשוט </w:t>
      </w:r>
      <w:r w:rsidR="00496F22" w:rsidRPr="00106D3A">
        <w:rPr>
          <w:rFonts w:hint="cs"/>
          <w:sz w:val="24"/>
          <w:rtl/>
        </w:rPr>
        <w:t xml:space="preserve">דן בטענה ומכריע בה לגופה, בין אם היא חשובה או מבוססת ובין אם היא שטחית או שולית. </w:t>
      </w:r>
    </w:p>
    <w:p w:rsidR="00513686" w:rsidRPr="00106D3A" w:rsidRDefault="00711518" w:rsidP="0091776D">
      <w:pPr>
        <w:ind w:firstLine="720"/>
        <w:jc w:val="both"/>
        <w:rPr>
          <w:sz w:val="24"/>
          <w:rtl/>
        </w:rPr>
      </w:pPr>
      <w:r w:rsidRPr="00106D3A">
        <w:rPr>
          <w:rFonts w:hint="cs"/>
          <w:sz w:val="24"/>
          <w:rtl/>
        </w:rPr>
        <w:t xml:space="preserve">אם יאמץ בית המשפט את הטיעון בזכות הביקורת השיפוטית, יהיה עליו לפתח דוקטרינת סף מפורטת ובהירה, שתסווג עתירות לפי </w:t>
      </w:r>
      <w:r w:rsidR="00132AA9" w:rsidRPr="00106D3A">
        <w:rPr>
          <w:rFonts w:hint="cs"/>
          <w:sz w:val="24"/>
          <w:rtl/>
        </w:rPr>
        <w:t xml:space="preserve">קריטריון </w:t>
      </w:r>
      <w:r w:rsidR="00871AFB" w:rsidRPr="00106D3A">
        <w:rPr>
          <w:rFonts w:hint="cs"/>
          <w:sz w:val="24"/>
          <w:rtl/>
        </w:rPr>
        <w:t>אשר יגדיר אילו מתאימות לבירור מיידי בפני הערכאה הגבוהה, ואילו מתאימות לטיפול במסלול הביזורי</w:t>
      </w:r>
      <w:r w:rsidR="008C0ABD" w:rsidRPr="00106D3A">
        <w:rPr>
          <w:rFonts w:hint="cs"/>
          <w:sz w:val="24"/>
          <w:rtl/>
        </w:rPr>
        <w:t>, לפי היתרון היחסי של כל אחת מהחלופות</w:t>
      </w:r>
      <w:r w:rsidR="00871AFB" w:rsidRPr="00106D3A">
        <w:rPr>
          <w:rFonts w:hint="cs"/>
          <w:sz w:val="24"/>
          <w:rtl/>
        </w:rPr>
        <w:t xml:space="preserve">. </w:t>
      </w:r>
      <w:r w:rsidR="00D0668A" w:rsidRPr="00106D3A">
        <w:rPr>
          <w:rFonts w:hint="cs"/>
          <w:sz w:val="24"/>
          <w:rtl/>
        </w:rPr>
        <w:t xml:space="preserve">מתבקש כאן למשל </w:t>
      </w:r>
      <w:r w:rsidR="005B10E3" w:rsidRPr="00106D3A">
        <w:rPr>
          <w:rFonts w:hint="cs"/>
          <w:sz w:val="24"/>
          <w:rtl/>
        </w:rPr>
        <w:t>מבחן של דחיפו</w:t>
      </w:r>
      <w:r w:rsidR="00FB1F49" w:rsidRPr="00106D3A">
        <w:rPr>
          <w:rFonts w:hint="cs"/>
          <w:sz w:val="24"/>
          <w:rtl/>
        </w:rPr>
        <w:t>ּ</w:t>
      </w:r>
      <w:r w:rsidR="005B10E3" w:rsidRPr="00106D3A">
        <w:rPr>
          <w:rFonts w:hint="cs"/>
          <w:sz w:val="24"/>
          <w:rtl/>
        </w:rPr>
        <w:t xml:space="preserve">ת: </w:t>
      </w:r>
      <w:r w:rsidR="009A5069" w:rsidRPr="00106D3A">
        <w:rPr>
          <w:rFonts w:hint="cs"/>
          <w:sz w:val="24"/>
          <w:rtl/>
        </w:rPr>
        <w:t xml:space="preserve">עתירה חוקתית </w:t>
      </w:r>
      <w:r w:rsidR="00651D4C" w:rsidRPr="00106D3A">
        <w:rPr>
          <w:rFonts w:hint="cs"/>
          <w:sz w:val="24"/>
          <w:rtl/>
        </w:rPr>
        <w:t xml:space="preserve">המעוררת בעיה </w:t>
      </w:r>
      <w:r w:rsidR="00D0668A" w:rsidRPr="00106D3A">
        <w:rPr>
          <w:rFonts w:hint="cs"/>
          <w:sz w:val="24"/>
          <w:rtl/>
        </w:rPr>
        <w:t>בהירה ו</w:t>
      </w:r>
      <w:r w:rsidR="00651D4C" w:rsidRPr="00106D3A">
        <w:rPr>
          <w:rFonts w:hint="cs"/>
          <w:sz w:val="24"/>
          <w:rtl/>
        </w:rPr>
        <w:t xml:space="preserve">מיידית מצדיקה בירור דחוף בבג"ץ, בעוד עתירה חוקתית שמעוררת </w:t>
      </w:r>
      <w:r w:rsidR="00D0668A" w:rsidRPr="00106D3A">
        <w:rPr>
          <w:rFonts w:hint="cs"/>
          <w:sz w:val="24"/>
          <w:rtl/>
        </w:rPr>
        <w:t xml:space="preserve">שאלת-רוחב שבירורה יכול ליהנות מתהליך ממוסד של עיון, </w:t>
      </w:r>
      <w:r w:rsidR="00105A79" w:rsidRPr="00106D3A">
        <w:rPr>
          <w:rFonts w:hint="cs"/>
          <w:sz w:val="24"/>
          <w:rtl/>
        </w:rPr>
        <w:t xml:space="preserve">דיון, </w:t>
      </w:r>
      <w:r w:rsidR="00D0668A" w:rsidRPr="00106D3A">
        <w:rPr>
          <w:rFonts w:hint="cs"/>
          <w:sz w:val="24"/>
          <w:rtl/>
        </w:rPr>
        <w:t xml:space="preserve">ניסוי וטעייה </w:t>
      </w:r>
      <w:r w:rsidR="00FB1F49" w:rsidRPr="00106D3A">
        <w:rPr>
          <w:sz w:val="24"/>
          <w:rtl/>
        </w:rPr>
        <w:t>–</w:t>
      </w:r>
      <w:r w:rsidR="00FB1F49" w:rsidRPr="00106D3A">
        <w:rPr>
          <w:rFonts w:hint="cs"/>
          <w:sz w:val="24"/>
          <w:rtl/>
        </w:rPr>
        <w:t xml:space="preserve"> </w:t>
      </w:r>
      <w:r w:rsidR="00D0668A" w:rsidRPr="00106D3A">
        <w:rPr>
          <w:rFonts w:hint="cs"/>
          <w:sz w:val="24"/>
          <w:rtl/>
        </w:rPr>
        <w:t>ראויה להישלח למסלול הביזורי.</w:t>
      </w:r>
      <w:r w:rsidR="00EB6723" w:rsidRPr="00106D3A">
        <w:rPr>
          <w:rStyle w:val="FootnoteReference"/>
          <w:sz w:val="24"/>
          <w:rtl/>
        </w:rPr>
        <w:footnoteReference w:id="123"/>
      </w:r>
      <w:r w:rsidR="00D0668A" w:rsidRPr="00106D3A">
        <w:rPr>
          <w:rFonts w:hint="cs"/>
          <w:sz w:val="24"/>
          <w:rtl/>
        </w:rPr>
        <w:t xml:space="preserve"> </w:t>
      </w:r>
    </w:p>
    <w:p w:rsidR="00EC7038" w:rsidRDefault="002248D9" w:rsidP="00D7371A">
      <w:pPr>
        <w:ind w:firstLine="720"/>
        <w:jc w:val="both"/>
        <w:rPr>
          <w:sz w:val="24"/>
          <w:rtl/>
        </w:rPr>
      </w:pPr>
      <w:r w:rsidRPr="00106D3A">
        <w:rPr>
          <w:rFonts w:hint="cs"/>
          <w:sz w:val="24"/>
          <w:rtl/>
        </w:rPr>
        <w:t xml:space="preserve">מבחן </w:t>
      </w:r>
      <w:r w:rsidR="0091776D" w:rsidRPr="00106D3A">
        <w:rPr>
          <w:rFonts w:hint="cs"/>
          <w:sz w:val="24"/>
          <w:rtl/>
        </w:rPr>
        <w:t xml:space="preserve">אפשרי </w:t>
      </w:r>
      <w:r w:rsidRPr="00106D3A">
        <w:rPr>
          <w:rFonts w:hint="cs"/>
          <w:sz w:val="24"/>
          <w:rtl/>
        </w:rPr>
        <w:t xml:space="preserve">אחר </w:t>
      </w:r>
      <w:r w:rsidR="0091776D" w:rsidRPr="00106D3A">
        <w:rPr>
          <w:rFonts w:hint="cs"/>
          <w:sz w:val="24"/>
          <w:rtl/>
        </w:rPr>
        <w:t xml:space="preserve">יתבסס על </w:t>
      </w:r>
      <w:r w:rsidRPr="00106D3A">
        <w:rPr>
          <w:rFonts w:hint="cs"/>
          <w:sz w:val="24"/>
          <w:rtl/>
        </w:rPr>
        <w:t xml:space="preserve">מידת הקונקרטיות של הטענה החוקתית. </w:t>
      </w:r>
      <w:r w:rsidR="0091776D" w:rsidRPr="00106D3A">
        <w:rPr>
          <w:rFonts w:hint="cs"/>
          <w:sz w:val="24"/>
          <w:rtl/>
        </w:rPr>
        <w:t xml:space="preserve">אחד היתרונות של ערכאות הדיון הוא ביכולתן לגבש תשתית עובדתית עשירה ממנה ילמדו על אופן פעולתה של הנורמה החוקתית ב"שטח". הדבר מצדיק הפנייה אליהן של עתירות שטוענות לפגיעה קונקרטית בעלת היבטים </w:t>
      </w:r>
      <w:r w:rsidR="009E75AA" w:rsidRPr="00106D3A">
        <w:rPr>
          <w:rFonts w:hint="cs"/>
          <w:sz w:val="24"/>
          <w:rtl/>
        </w:rPr>
        <w:t xml:space="preserve">מוחשיים בזכות או בהסדר חוקתי. תחת </w:t>
      </w:r>
      <w:r w:rsidR="0091776D" w:rsidRPr="00106D3A">
        <w:rPr>
          <w:rFonts w:hint="cs"/>
          <w:sz w:val="24"/>
          <w:rtl/>
        </w:rPr>
        <w:t xml:space="preserve">מבחן זה בג"ץ ידון בעצמו בעתירות המופשטות יותר </w:t>
      </w:r>
      <w:r w:rsidR="0091776D" w:rsidRPr="00106D3A">
        <w:rPr>
          <w:sz w:val="24"/>
          <w:rtl/>
        </w:rPr>
        <w:t>–</w:t>
      </w:r>
      <w:r w:rsidR="0091776D" w:rsidRPr="00106D3A">
        <w:rPr>
          <w:rFonts w:hint="cs"/>
          <w:sz w:val="24"/>
          <w:rtl/>
        </w:rPr>
        <w:t xml:space="preserve"> אלה שמוגשות למשל סמוך למעשה החקיקה או שמעוררות טיעון משפטי </w:t>
      </w:r>
      <w:r w:rsidR="00312C31" w:rsidRPr="00106D3A">
        <w:rPr>
          <w:rFonts w:hint="cs"/>
          <w:sz w:val="24"/>
          <w:rtl/>
        </w:rPr>
        <w:t xml:space="preserve">טהור שאינו מבוסס על עובדות מוחשיות. </w:t>
      </w:r>
      <w:r w:rsidR="00513686" w:rsidRPr="00106D3A">
        <w:rPr>
          <w:rFonts w:hint="cs"/>
          <w:sz w:val="24"/>
          <w:rtl/>
        </w:rPr>
        <w:t xml:space="preserve">ניתן </w:t>
      </w:r>
      <w:r w:rsidR="00DF108F" w:rsidRPr="00106D3A">
        <w:rPr>
          <w:rFonts w:hint="cs"/>
          <w:sz w:val="24"/>
          <w:rtl/>
        </w:rPr>
        <w:t xml:space="preserve">למשל </w:t>
      </w:r>
      <w:r w:rsidR="00513686" w:rsidRPr="00106D3A">
        <w:rPr>
          <w:rFonts w:hint="cs"/>
          <w:sz w:val="24"/>
          <w:rtl/>
        </w:rPr>
        <w:t xml:space="preserve">להשוות </w:t>
      </w:r>
      <w:r w:rsidR="00DF108F" w:rsidRPr="00106D3A">
        <w:rPr>
          <w:rFonts w:hint="cs"/>
          <w:sz w:val="24"/>
          <w:rtl/>
        </w:rPr>
        <w:t xml:space="preserve">במונחים אלה </w:t>
      </w:r>
      <w:r w:rsidR="00513686" w:rsidRPr="00106D3A">
        <w:rPr>
          <w:rFonts w:hint="cs"/>
          <w:sz w:val="24"/>
          <w:rtl/>
        </w:rPr>
        <w:t>שניים מפסקי הדין החוקתיים הבולטים של הנשיאה ביניש: ביטול "חוק טל"</w:t>
      </w:r>
      <w:r w:rsidR="00F029A0">
        <w:rPr>
          <w:rFonts w:hint="cs"/>
          <w:sz w:val="24"/>
          <w:rtl/>
        </w:rPr>
        <w:t>,</w:t>
      </w:r>
      <w:r w:rsidR="00CB353A" w:rsidRPr="00106D3A">
        <w:rPr>
          <w:rStyle w:val="FootnoteReference"/>
          <w:sz w:val="24"/>
          <w:rtl/>
        </w:rPr>
        <w:footnoteReference w:id="124"/>
      </w:r>
      <w:r w:rsidR="00513686" w:rsidRPr="00106D3A">
        <w:rPr>
          <w:rFonts w:hint="cs"/>
          <w:sz w:val="24"/>
          <w:rtl/>
        </w:rPr>
        <w:t xml:space="preserve"> </w:t>
      </w:r>
      <w:r w:rsidR="00F029A0">
        <w:rPr>
          <w:rFonts w:hint="cs"/>
          <w:sz w:val="24"/>
          <w:rtl/>
        </w:rPr>
        <w:t>ו</w:t>
      </w:r>
      <w:r w:rsidR="00F029A0" w:rsidRPr="00106D3A">
        <w:rPr>
          <w:rFonts w:hint="cs"/>
          <w:sz w:val="24"/>
          <w:rtl/>
        </w:rPr>
        <w:t>ביטול ההפרטה של סמכות המאסר</w:t>
      </w:r>
      <w:r w:rsidR="00F029A0">
        <w:rPr>
          <w:rFonts w:hint="cs"/>
          <w:sz w:val="24"/>
          <w:rtl/>
        </w:rPr>
        <w:t>.</w:t>
      </w:r>
      <w:r w:rsidR="00F029A0" w:rsidRPr="00106D3A">
        <w:rPr>
          <w:rStyle w:val="FootnoteReference"/>
          <w:sz w:val="24"/>
          <w:rtl/>
        </w:rPr>
        <w:footnoteReference w:id="125"/>
      </w:r>
      <w:r w:rsidR="00F029A0" w:rsidRPr="00106D3A">
        <w:rPr>
          <w:rFonts w:hint="cs"/>
          <w:sz w:val="24"/>
          <w:rtl/>
        </w:rPr>
        <w:t xml:space="preserve"> </w:t>
      </w:r>
      <w:r w:rsidR="00513686" w:rsidRPr="00106D3A">
        <w:rPr>
          <w:rFonts w:hint="cs"/>
          <w:sz w:val="24"/>
          <w:rtl/>
        </w:rPr>
        <w:t xml:space="preserve">במקרה </w:t>
      </w:r>
      <w:r w:rsidR="00EC7038">
        <w:rPr>
          <w:rFonts w:hint="cs"/>
          <w:sz w:val="24"/>
          <w:rtl/>
        </w:rPr>
        <w:t xml:space="preserve">של חוק טל, </w:t>
      </w:r>
      <w:r w:rsidR="00EC7038" w:rsidRPr="00106D3A">
        <w:rPr>
          <w:rFonts w:hint="cs"/>
          <w:sz w:val="24"/>
          <w:rtl/>
        </w:rPr>
        <w:t>פסק הדין התבסס על עיון מדוקדק בתוצאות המאמצים לגייס תלמידי ישיבות ולשלבם בשוק העבודה. ניתן לטעון שאת התשתית העובדתית המורכבת הזו ראוי היה לגבש בהליך אדברסרי קלאסי, בו יוצגו ראיות ותינתן הזדמנות לחקור את העדים על תצהיריהם. זהו הליך שיכול היה להתנהל בערכאות הדיון, אך אין לו מקום בבג"ץ.</w:t>
      </w:r>
      <w:r w:rsidR="00EC7038">
        <w:rPr>
          <w:rFonts w:hint="cs"/>
          <w:sz w:val="24"/>
          <w:rtl/>
        </w:rPr>
        <w:t xml:space="preserve"> במקרה של בית הסוהר, לעומת זאת, העתירה הוכרעה </w:t>
      </w:r>
      <w:r w:rsidR="00513686" w:rsidRPr="00106D3A">
        <w:rPr>
          <w:rFonts w:hint="cs"/>
          <w:sz w:val="24"/>
          <w:rtl/>
        </w:rPr>
        <w:t>על יסוד טענות מופשטות לגמרי, מבלי שהוצגה ומבלי שנדרשה כל תשתית עובדתית מוחשית; אכן, בית הסוהר המופרט עוד לא אוכלס כאשר ניתן פסק הדין שאסר על הפעלתו.</w:t>
      </w:r>
      <w:r w:rsidR="00EC7038">
        <w:rPr>
          <w:rFonts w:hint="cs"/>
          <w:sz w:val="24"/>
          <w:rtl/>
        </w:rPr>
        <w:t xml:space="preserve"> דעת המיעוט באותו עניין, של השופט לוי, </w:t>
      </w:r>
      <w:r w:rsidR="00D7371A">
        <w:rPr>
          <w:rFonts w:hint="cs"/>
          <w:sz w:val="24"/>
          <w:rtl/>
        </w:rPr>
        <w:t xml:space="preserve">סברה שניתן יהיה להכריע בעתירה רק לאחר התגבשותה של תמונה עובדתית-תוצאתית על ההשלכות בפועל של הפרטת המאסר. סוג כזה של בירור, אילו נדרש, היה מתאים לערכאות הדיון.  </w:t>
      </w:r>
    </w:p>
    <w:p w:rsidR="002248D9" w:rsidRPr="00106D3A" w:rsidRDefault="001D5367" w:rsidP="00BD622A">
      <w:pPr>
        <w:ind w:firstLine="720"/>
        <w:jc w:val="both"/>
        <w:rPr>
          <w:sz w:val="24"/>
          <w:rtl/>
        </w:rPr>
      </w:pPr>
      <w:r>
        <w:rPr>
          <w:rFonts w:hint="cs"/>
          <w:sz w:val="24"/>
          <w:rtl/>
        </w:rPr>
        <w:lastRenderedPageBreak/>
        <w:t>יצוין ש</w:t>
      </w:r>
      <w:r w:rsidR="00EE5E04" w:rsidRPr="00106D3A">
        <w:rPr>
          <w:rFonts w:hint="cs"/>
          <w:sz w:val="24"/>
          <w:rtl/>
        </w:rPr>
        <w:t>עילת הסף של בשלות העתירה, שהופעלה לאחרונה בכמה פסקי דין כדי למנוע דיון מוקדם מדי בעתירות חוקתיות,</w:t>
      </w:r>
      <w:r w:rsidR="00EE5E04" w:rsidRPr="00106D3A">
        <w:rPr>
          <w:rStyle w:val="FootnoteReference"/>
          <w:sz w:val="24"/>
          <w:rtl/>
        </w:rPr>
        <w:footnoteReference w:id="126"/>
      </w:r>
      <w:r w:rsidR="00EE5E04" w:rsidRPr="00106D3A">
        <w:rPr>
          <w:rFonts w:hint="cs"/>
          <w:sz w:val="24"/>
          <w:rtl/>
        </w:rPr>
        <w:t xml:space="preserve"> פועלת פעולה דומה </w:t>
      </w:r>
      <w:r w:rsidR="00EE5E04" w:rsidRPr="00106D3A">
        <w:rPr>
          <w:sz w:val="24"/>
          <w:rtl/>
        </w:rPr>
        <w:t>–</w:t>
      </w:r>
      <w:r w:rsidR="00EE5E04" w:rsidRPr="00106D3A">
        <w:rPr>
          <w:rFonts w:hint="cs"/>
          <w:sz w:val="24"/>
          <w:rtl/>
        </w:rPr>
        <w:t xml:space="preserve"> אלא שבמקום להזמין את ה</w:t>
      </w:r>
      <w:r w:rsidR="004E15A2" w:rsidRPr="00106D3A">
        <w:rPr>
          <w:rFonts w:hint="cs"/>
          <w:sz w:val="24"/>
          <w:rtl/>
        </w:rPr>
        <w:t xml:space="preserve">עותרים לשוב לבג"ץ בהמשך הדרך, </w:t>
      </w:r>
      <w:r w:rsidR="003E3D00" w:rsidRPr="00106D3A">
        <w:rPr>
          <w:rFonts w:hint="cs"/>
          <w:sz w:val="24"/>
          <w:rtl/>
        </w:rPr>
        <w:t xml:space="preserve">ראוי להפנותם </w:t>
      </w:r>
      <w:r w:rsidR="004E15A2" w:rsidRPr="00106D3A">
        <w:rPr>
          <w:rFonts w:hint="cs"/>
          <w:sz w:val="24"/>
          <w:rtl/>
        </w:rPr>
        <w:t>לפי המודל הנוכחי להתדיינות בערכאות הנמוכות.</w:t>
      </w:r>
      <w:r w:rsidR="00413EBB">
        <w:rPr>
          <w:rStyle w:val="FootnoteReference"/>
          <w:sz w:val="24"/>
          <w:rtl/>
        </w:rPr>
        <w:footnoteReference w:id="127"/>
      </w:r>
      <w:r w:rsidR="004E15A2" w:rsidRPr="00106D3A">
        <w:rPr>
          <w:rFonts w:hint="cs"/>
          <w:sz w:val="24"/>
          <w:rtl/>
        </w:rPr>
        <w:t xml:space="preserve"> </w:t>
      </w:r>
    </w:p>
    <w:p w:rsidR="00651D4C" w:rsidRPr="00106D3A" w:rsidRDefault="00761510" w:rsidP="009F7164">
      <w:pPr>
        <w:ind w:firstLine="720"/>
        <w:jc w:val="both"/>
        <w:rPr>
          <w:sz w:val="24"/>
          <w:rtl/>
        </w:rPr>
      </w:pPr>
      <w:r w:rsidRPr="00106D3A">
        <w:rPr>
          <w:rFonts w:hint="cs"/>
          <w:sz w:val="24"/>
          <w:rtl/>
        </w:rPr>
        <w:t xml:space="preserve">קריטריון נוסף, מורכב יותר להפעלה, יכול להיות הרגישות הפוליטית או החברתית של הסוגיה. </w:t>
      </w:r>
      <w:r w:rsidR="005B79B3" w:rsidRPr="00106D3A">
        <w:rPr>
          <w:rFonts w:hint="cs"/>
          <w:sz w:val="24"/>
          <w:rtl/>
        </w:rPr>
        <w:t>אף שהנטייה הרגילה היא לחשוב שראוי לסוגיות רגישות להתברר במוסד הבכיר והמכובד ביותר,</w:t>
      </w:r>
      <w:r w:rsidR="0043223C" w:rsidRPr="00106D3A">
        <w:rPr>
          <w:rStyle w:val="FootnoteReference"/>
          <w:sz w:val="24"/>
          <w:rtl/>
        </w:rPr>
        <w:footnoteReference w:id="128"/>
      </w:r>
      <w:r w:rsidR="005B79B3" w:rsidRPr="00106D3A">
        <w:rPr>
          <w:rFonts w:hint="cs"/>
          <w:sz w:val="24"/>
          <w:rtl/>
        </w:rPr>
        <w:t xml:space="preserve"> </w:t>
      </w:r>
      <w:r w:rsidR="008715BD" w:rsidRPr="00106D3A">
        <w:rPr>
          <w:rFonts w:hint="cs"/>
          <w:sz w:val="24"/>
          <w:rtl/>
        </w:rPr>
        <w:t xml:space="preserve">הטיעון של מאמר זה מוביל דווקא לכיוון ההפוך: סוגיות שמבטאות מחלוקת </w:t>
      </w:r>
      <w:r w:rsidR="00FE3164" w:rsidRPr="00106D3A">
        <w:rPr>
          <w:rFonts w:hint="cs"/>
          <w:sz w:val="24"/>
          <w:rtl/>
        </w:rPr>
        <w:t>משמעותית בציבור הישראלי מצדיקות מתן הזדמנות להתדיינות נמשכת ב"</w:t>
      </w:r>
      <w:r w:rsidR="009F7164">
        <w:rPr>
          <w:rFonts w:hint="cs"/>
          <w:sz w:val="24"/>
          <w:rtl/>
        </w:rPr>
        <w:t>עצימות נמוכה</w:t>
      </w:r>
      <w:r w:rsidR="00FE3164" w:rsidRPr="00106D3A">
        <w:rPr>
          <w:rFonts w:hint="cs"/>
          <w:sz w:val="24"/>
          <w:rtl/>
        </w:rPr>
        <w:t xml:space="preserve">", ולא הכרעה חדה וסופית לצד זה או אחר, שסיכון הטעות שלה יכול להיות גורלי ממש. </w:t>
      </w:r>
      <w:r w:rsidR="00ED0683" w:rsidRPr="00106D3A">
        <w:rPr>
          <w:rFonts w:hint="cs"/>
          <w:sz w:val="24"/>
          <w:rtl/>
        </w:rPr>
        <w:t xml:space="preserve">אחת האינדיקציות האפשריות </w:t>
      </w:r>
      <w:r w:rsidR="002E3E0D" w:rsidRPr="00106D3A">
        <w:rPr>
          <w:rFonts w:hint="cs"/>
          <w:sz w:val="24"/>
          <w:rtl/>
        </w:rPr>
        <w:t xml:space="preserve">למורכבות חריגה של הסוגיה היא מחלוקת משמעותית בין שופטי העליון עצמם ביחס להיבטים הערכיים של טענה חוקתית כלשהי. </w:t>
      </w:r>
      <w:r w:rsidR="002511C8" w:rsidRPr="00106D3A">
        <w:rPr>
          <w:rFonts w:hint="cs"/>
          <w:sz w:val="24"/>
          <w:rtl/>
        </w:rPr>
        <w:t>ניתן לחשוב למשל על שתי העתירות בנושא "איחוד משפחות",</w:t>
      </w:r>
      <w:r w:rsidR="000B0688" w:rsidRPr="00106D3A">
        <w:rPr>
          <w:rStyle w:val="FootnoteReference"/>
          <w:sz w:val="24"/>
          <w:rtl/>
        </w:rPr>
        <w:footnoteReference w:id="129"/>
      </w:r>
      <w:r w:rsidR="002511C8" w:rsidRPr="00106D3A">
        <w:rPr>
          <w:rFonts w:hint="cs"/>
          <w:sz w:val="24"/>
          <w:rtl/>
        </w:rPr>
        <w:t xml:space="preserve"> שהוכרעו בבג"ץ באופן חריג על חודו של קול (5-6), ואשר נגעו לסוגיה רגישה ביותר בציבור הישראלי, כמצדיקות הפניה לליבון איטי ומתמשך יותר בערכאות הדיון</w:t>
      </w:r>
      <w:r w:rsidR="00381749" w:rsidRPr="00106D3A">
        <w:rPr>
          <w:rFonts w:hint="cs"/>
          <w:sz w:val="24"/>
          <w:rtl/>
        </w:rPr>
        <w:t>, במקום ה</w:t>
      </w:r>
      <w:r w:rsidR="002511C8" w:rsidRPr="00106D3A">
        <w:rPr>
          <w:rFonts w:hint="cs"/>
          <w:sz w:val="24"/>
          <w:rtl/>
        </w:rPr>
        <w:t xml:space="preserve">הכרעה </w:t>
      </w:r>
      <w:r w:rsidR="00381749" w:rsidRPr="00106D3A">
        <w:rPr>
          <w:rFonts w:hint="cs"/>
          <w:sz w:val="24"/>
          <w:rtl/>
        </w:rPr>
        <w:t>ה</w:t>
      </w:r>
      <w:r w:rsidR="002511C8" w:rsidRPr="00106D3A">
        <w:rPr>
          <w:rFonts w:hint="cs"/>
          <w:sz w:val="24"/>
          <w:rtl/>
        </w:rPr>
        <w:t xml:space="preserve">סופית </w:t>
      </w:r>
      <w:r w:rsidR="00381749" w:rsidRPr="00106D3A">
        <w:rPr>
          <w:rFonts w:hint="cs"/>
          <w:sz w:val="24"/>
          <w:rtl/>
        </w:rPr>
        <w:t xml:space="preserve">שנעשתה ישירות </w:t>
      </w:r>
      <w:r w:rsidR="002511C8" w:rsidRPr="00106D3A">
        <w:rPr>
          <w:rFonts w:hint="cs"/>
          <w:sz w:val="24"/>
          <w:rtl/>
        </w:rPr>
        <w:t xml:space="preserve">בבית המשפט העליון. </w:t>
      </w:r>
    </w:p>
    <w:p w:rsidR="007B5A1B" w:rsidRDefault="006F4D20" w:rsidP="006843A8">
      <w:pPr>
        <w:ind w:firstLine="720"/>
        <w:jc w:val="both"/>
        <w:rPr>
          <w:sz w:val="24"/>
          <w:rtl/>
        </w:rPr>
      </w:pPr>
      <w:r w:rsidRPr="00106D3A">
        <w:rPr>
          <w:rFonts w:hint="cs"/>
          <w:sz w:val="24"/>
          <w:rtl/>
        </w:rPr>
        <w:t xml:space="preserve">תועלתה </w:t>
      </w:r>
      <w:r w:rsidR="00724ECC" w:rsidRPr="00106D3A">
        <w:rPr>
          <w:rFonts w:hint="cs"/>
          <w:sz w:val="24"/>
          <w:rtl/>
        </w:rPr>
        <w:t>של דוק</w:t>
      </w:r>
      <w:r w:rsidR="00B41B68" w:rsidRPr="00106D3A">
        <w:rPr>
          <w:rFonts w:hint="cs"/>
          <w:sz w:val="24"/>
          <w:rtl/>
        </w:rPr>
        <w:t>טר</w:t>
      </w:r>
      <w:r w:rsidR="00A26A05" w:rsidRPr="00106D3A">
        <w:rPr>
          <w:rFonts w:hint="cs"/>
          <w:sz w:val="24"/>
          <w:rtl/>
        </w:rPr>
        <w:t>ינת-</w:t>
      </w:r>
      <w:r w:rsidR="00724ECC" w:rsidRPr="00106D3A">
        <w:rPr>
          <w:rFonts w:hint="cs"/>
          <w:sz w:val="24"/>
          <w:rtl/>
        </w:rPr>
        <w:t>סף בהירה בעניין זה</w:t>
      </w:r>
      <w:r w:rsidR="00F21F97" w:rsidRPr="00106D3A">
        <w:rPr>
          <w:rFonts w:hint="cs"/>
          <w:sz w:val="24"/>
          <w:rtl/>
        </w:rPr>
        <w:t>, שתציג מבחנים ידועים ותיישמם באופן עקבי,</w:t>
      </w:r>
      <w:r w:rsidR="00724ECC" w:rsidRPr="00106D3A">
        <w:rPr>
          <w:rFonts w:hint="cs"/>
          <w:sz w:val="24"/>
          <w:rtl/>
        </w:rPr>
        <w:t xml:space="preserve"> </w:t>
      </w:r>
      <w:r w:rsidR="001C7983" w:rsidRPr="00106D3A">
        <w:rPr>
          <w:rFonts w:hint="cs"/>
          <w:sz w:val="24"/>
          <w:rtl/>
        </w:rPr>
        <w:t xml:space="preserve">היא כפולה. ראשית, היא </w:t>
      </w:r>
      <w:r w:rsidR="00F21F97" w:rsidRPr="00106D3A">
        <w:rPr>
          <w:rFonts w:hint="cs"/>
          <w:sz w:val="24"/>
          <w:rtl/>
        </w:rPr>
        <w:t xml:space="preserve">תשדר </w:t>
      </w:r>
      <w:r w:rsidR="001C7983" w:rsidRPr="00106D3A">
        <w:rPr>
          <w:rFonts w:hint="cs"/>
          <w:sz w:val="24"/>
          <w:rtl/>
        </w:rPr>
        <w:t>מסר לבעלי הדין היכן כדאי להם להציג את הטענה החוקתית הרלוונטית</w:t>
      </w:r>
      <w:r w:rsidR="00F21F97" w:rsidRPr="00106D3A">
        <w:rPr>
          <w:rFonts w:hint="cs"/>
          <w:sz w:val="24"/>
          <w:rtl/>
        </w:rPr>
        <w:t>, ותחסוך בכך עלויות של הליכים מיותרים בפורום הלא נכון</w:t>
      </w:r>
      <w:r w:rsidR="001C7983" w:rsidRPr="00106D3A">
        <w:rPr>
          <w:rFonts w:hint="cs"/>
          <w:sz w:val="24"/>
          <w:rtl/>
        </w:rPr>
        <w:t xml:space="preserve">. </w:t>
      </w:r>
      <w:r w:rsidRPr="00106D3A">
        <w:rPr>
          <w:rFonts w:hint="cs"/>
          <w:sz w:val="24"/>
          <w:rtl/>
        </w:rPr>
        <w:t xml:space="preserve">שנית, וחשוב יותר, היא תספק לגיטימציה </w:t>
      </w:r>
      <w:r w:rsidR="00206C1A" w:rsidRPr="00106D3A">
        <w:rPr>
          <w:rFonts w:hint="cs"/>
          <w:sz w:val="24"/>
          <w:rtl/>
        </w:rPr>
        <w:t>ל</w:t>
      </w:r>
      <w:r w:rsidRPr="00106D3A">
        <w:rPr>
          <w:rFonts w:hint="cs"/>
          <w:sz w:val="24"/>
          <w:rtl/>
        </w:rPr>
        <w:t>ערכאות הדיון לבצע ביקורת שיפוטית</w:t>
      </w:r>
      <w:r w:rsidR="00E968D2" w:rsidRPr="00106D3A">
        <w:rPr>
          <w:rFonts w:hint="cs"/>
          <w:sz w:val="24"/>
          <w:rtl/>
        </w:rPr>
        <w:t xml:space="preserve"> בתחומים המתאימים להן </w:t>
      </w:r>
      <w:r w:rsidRPr="00106D3A">
        <w:rPr>
          <w:sz w:val="24"/>
          <w:rtl/>
        </w:rPr>
        <w:t>–</w:t>
      </w:r>
      <w:r w:rsidRPr="00106D3A">
        <w:rPr>
          <w:rFonts w:hint="cs"/>
          <w:sz w:val="24"/>
          <w:rtl/>
        </w:rPr>
        <w:t xml:space="preserve"> לגיטימציה שבבירור חסרה כיום בתו</w:t>
      </w:r>
      <w:r w:rsidR="00404148" w:rsidRPr="00106D3A">
        <w:rPr>
          <w:rFonts w:hint="cs"/>
          <w:sz w:val="24"/>
          <w:rtl/>
        </w:rPr>
        <w:t>דע</w:t>
      </w:r>
      <w:r w:rsidRPr="00106D3A">
        <w:rPr>
          <w:rFonts w:hint="cs"/>
          <w:sz w:val="24"/>
          <w:rtl/>
        </w:rPr>
        <w:t xml:space="preserve">תם של </w:t>
      </w:r>
      <w:r w:rsidR="00DC5C86" w:rsidRPr="00106D3A">
        <w:rPr>
          <w:rFonts w:hint="cs"/>
          <w:sz w:val="24"/>
          <w:rtl/>
        </w:rPr>
        <w:t>רבים מ</w:t>
      </w:r>
      <w:r w:rsidRPr="00106D3A">
        <w:rPr>
          <w:rFonts w:hint="cs"/>
          <w:sz w:val="24"/>
          <w:rtl/>
        </w:rPr>
        <w:t xml:space="preserve">שופטי </w:t>
      </w:r>
      <w:r w:rsidR="006843A8" w:rsidRPr="00106D3A">
        <w:rPr>
          <w:rFonts w:hint="cs"/>
          <w:sz w:val="24"/>
          <w:rtl/>
        </w:rPr>
        <w:t>ה</w:t>
      </w:r>
      <w:r w:rsidRPr="00106D3A">
        <w:rPr>
          <w:rFonts w:hint="cs"/>
          <w:sz w:val="24"/>
          <w:rtl/>
        </w:rPr>
        <w:t>ערכאות</w:t>
      </w:r>
      <w:r w:rsidR="006843A8" w:rsidRPr="00106D3A">
        <w:rPr>
          <w:rFonts w:hint="cs"/>
          <w:sz w:val="24"/>
          <w:rtl/>
        </w:rPr>
        <w:t xml:space="preserve"> הללו</w:t>
      </w:r>
      <w:r w:rsidRPr="00106D3A">
        <w:rPr>
          <w:rFonts w:hint="cs"/>
          <w:sz w:val="24"/>
          <w:rtl/>
        </w:rPr>
        <w:t xml:space="preserve">. </w:t>
      </w:r>
      <w:r w:rsidR="0061249B" w:rsidRPr="00106D3A">
        <w:rPr>
          <w:rFonts w:hint="cs"/>
          <w:sz w:val="24"/>
          <w:rtl/>
        </w:rPr>
        <w:t>לאורך זמן, יכול בית המשפט העליון לבדוק את הצלחת הקטגוריות שיתווה, ול</w:t>
      </w:r>
      <w:r w:rsidR="00AB7EBF">
        <w:rPr>
          <w:rFonts w:hint="cs"/>
          <w:sz w:val="24"/>
          <w:rtl/>
        </w:rPr>
        <w:t>עדכן את הדוקטרינה. במצב האופטימ</w:t>
      </w:r>
      <w:r w:rsidR="0061249B" w:rsidRPr="00106D3A">
        <w:rPr>
          <w:rFonts w:hint="cs"/>
          <w:sz w:val="24"/>
          <w:rtl/>
        </w:rPr>
        <w:t xml:space="preserve">לי, </w:t>
      </w:r>
      <w:r w:rsidR="005551F7" w:rsidRPr="00106D3A">
        <w:rPr>
          <w:rFonts w:hint="cs"/>
          <w:sz w:val="24"/>
          <w:rtl/>
        </w:rPr>
        <w:t xml:space="preserve">יתנהל תהליך </w:t>
      </w:r>
      <w:r w:rsidR="00773DED" w:rsidRPr="00106D3A">
        <w:rPr>
          <w:rFonts w:hint="cs"/>
          <w:sz w:val="24"/>
          <w:rtl/>
        </w:rPr>
        <w:t>מצטבר</w:t>
      </w:r>
      <w:r w:rsidR="0061249B" w:rsidRPr="00106D3A">
        <w:rPr>
          <w:rFonts w:hint="cs"/>
          <w:sz w:val="24"/>
          <w:rtl/>
        </w:rPr>
        <w:t xml:space="preserve"> בו יתווספו מעת לעת תחומים </w:t>
      </w:r>
      <w:r w:rsidR="005551F7" w:rsidRPr="00106D3A">
        <w:rPr>
          <w:rFonts w:hint="cs"/>
          <w:sz w:val="24"/>
          <w:rtl/>
        </w:rPr>
        <w:t xml:space="preserve">חדשים למסלול הביקורת השיפוטית הביזורית, </w:t>
      </w:r>
      <w:r w:rsidR="00F60A18" w:rsidRPr="00106D3A">
        <w:rPr>
          <w:rFonts w:hint="cs"/>
          <w:sz w:val="24"/>
          <w:rtl/>
        </w:rPr>
        <w:t xml:space="preserve">ותפקידו של בג"ץ </w:t>
      </w:r>
      <w:r w:rsidR="00A27363" w:rsidRPr="00106D3A">
        <w:rPr>
          <w:rFonts w:hint="cs"/>
          <w:sz w:val="24"/>
          <w:rtl/>
        </w:rPr>
        <w:t xml:space="preserve">יצומצם רק לעניינים חוקתיים שיש הצדקה מיוחדת וחריגה להכריע </w:t>
      </w:r>
      <w:r w:rsidR="00393417" w:rsidRPr="00106D3A">
        <w:rPr>
          <w:rFonts w:hint="cs"/>
          <w:sz w:val="24"/>
          <w:rtl/>
        </w:rPr>
        <w:t>בהם באופן מיידי וגורף.</w:t>
      </w:r>
      <w:r w:rsidR="007B5A1B">
        <w:rPr>
          <w:rFonts w:hint="cs"/>
          <w:sz w:val="24"/>
          <w:rtl/>
        </w:rPr>
        <w:t xml:space="preserve"> </w:t>
      </w:r>
    </w:p>
    <w:p w:rsidR="00C21FE6" w:rsidRDefault="00C21FE6" w:rsidP="00A238A0">
      <w:pPr>
        <w:ind w:firstLine="720"/>
        <w:jc w:val="both"/>
        <w:rPr>
          <w:sz w:val="24"/>
          <w:rtl/>
        </w:rPr>
      </w:pPr>
      <w:r>
        <w:rPr>
          <w:rFonts w:hint="cs"/>
          <w:b/>
          <w:bCs/>
          <w:sz w:val="24"/>
          <w:rtl/>
        </w:rPr>
        <w:t xml:space="preserve">"אקטיביזם דיפרנציאלי". </w:t>
      </w:r>
      <w:r>
        <w:rPr>
          <w:rFonts w:hint="cs"/>
          <w:sz w:val="24"/>
          <w:rtl/>
        </w:rPr>
        <w:t xml:space="preserve">דרך משפטית נוספת להרחבת </w:t>
      </w:r>
      <w:r w:rsidR="00A238A0">
        <w:rPr>
          <w:rFonts w:hint="cs"/>
          <w:sz w:val="24"/>
          <w:rtl/>
        </w:rPr>
        <w:t>תחומיה של הביקורת השיפוטית הביזורית הנה בעדכון התפיסות הקיימות בדבר</w:t>
      </w:r>
      <w:r>
        <w:rPr>
          <w:rFonts w:hint="cs"/>
          <w:sz w:val="24"/>
          <w:rtl/>
        </w:rPr>
        <w:t xml:space="preserve"> היקף ההתערבות הרצוי של ערכאות הדיון בסוגיות של תוקף חוקתי; במלים אחרות </w:t>
      </w:r>
      <w:r>
        <w:rPr>
          <w:sz w:val="24"/>
          <w:rtl/>
        </w:rPr>
        <w:t>–</w:t>
      </w:r>
      <w:r>
        <w:rPr>
          <w:rFonts w:hint="cs"/>
          <w:sz w:val="24"/>
          <w:rtl/>
        </w:rPr>
        <w:t xml:space="preserve"> במידת "האקטיביזם השיפוטי" שראוי שינקטו. כיום, כאשר ערכאות הדיון נתקלות בטענה חוקתית, הן נוטות ליישם את כללי ההתערבות שפיתח בית המשפט העליון עבור עצמו, ובראשם זהירות מוקפדת בהפעלת סמכות הביקורת השיפוטית החוקתית. למעשה, כפי שכבר צוין, נראה ששופטי ערכאות הדיון סבורים שעליהם להיות זהירים אף יותר מבית המשפט העליון בהפעלתה של הסמכות.</w:t>
      </w:r>
      <w:r>
        <w:rPr>
          <w:rStyle w:val="FootnoteReference"/>
          <w:sz w:val="24"/>
          <w:rtl/>
        </w:rPr>
        <w:footnoteReference w:id="130"/>
      </w:r>
      <w:r>
        <w:rPr>
          <w:rFonts w:hint="cs"/>
          <w:sz w:val="24"/>
          <w:rtl/>
        </w:rPr>
        <w:t xml:space="preserve"> זה אינו ממצא מפתיע בהתחשב במה שאפיינתי קודם לכן כנורמה מוסדית ופוליטית מושרשת נגד ביקורת שיפוטית ביזורית בישראל. אך זהו ממצא שראוי לתהות לגביו כעניין שבמדיניות, משום שהעלות הדמוקרטית שבביקורת שיפוטית בערכאת דיון נמוכה מזו שבביקורת שיפוטית בערכאות הגבוהות. </w:t>
      </w:r>
    </w:p>
    <w:p w:rsidR="00C21FE6" w:rsidRDefault="00C21FE6" w:rsidP="00C21FE6">
      <w:pPr>
        <w:ind w:firstLine="720"/>
        <w:jc w:val="both"/>
        <w:rPr>
          <w:sz w:val="24"/>
          <w:rtl/>
        </w:rPr>
      </w:pPr>
      <w:r>
        <w:rPr>
          <w:rFonts w:hint="cs"/>
          <w:sz w:val="24"/>
          <w:rtl/>
        </w:rPr>
        <w:t xml:space="preserve">ניתן אפוא לנסח </w:t>
      </w:r>
      <w:r>
        <w:rPr>
          <w:sz w:val="24"/>
          <w:rtl/>
        </w:rPr>
        <w:t>–</w:t>
      </w:r>
      <w:r>
        <w:rPr>
          <w:rFonts w:hint="cs"/>
          <w:sz w:val="24"/>
          <w:rtl/>
        </w:rPr>
        <w:t xml:space="preserve"> ובית המשפט העליון יכול לפתח </w:t>
      </w:r>
      <w:r>
        <w:rPr>
          <w:sz w:val="24"/>
          <w:rtl/>
        </w:rPr>
        <w:t>–</w:t>
      </w:r>
      <w:r>
        <w:rPr>
          <w:rFonts w:hint="cs"/>
          <w:sz w:val="24"/>
          <w:rtl/>
        </w:rPr>
        <w:t xml:space="preserve"> דוקטרינה "דיפרנציאלית" של אקטיביזם שיפוטי, שתתיר לערכאות הדיון קצת יותר חירות בתחום הביקורת השיפוטית מאשר זו המותרת לו עצמו.</w:t>
      </w:r>
      <w:r>
        <w:rPr>
          <w:rStyle w:val="FootnoteReference"/>
          <w:sz w:val="24"/>
          <w:rtl/>
        </w:rPr>
        <w:footnoteReference w:id="131"/>
      </w:r>
      <w:r>
        <w:rPr>
          <w:rFonts w:hint="cs"/>
          <w:sz w:val="24"/>
          <w:rtl/>
        </w:rPr>
        <w:t xml:space="preserve"> אף שזו נשמעת עמדה לא-אינטואיטיבית, הרי במונחים של סיכון הטעות, עלות הטעות ושל פגיעה ברובניוּת הדמוקרטית </w:t>
      </w:r>
      <w:r>
        <w:rPr>
          <w:sz w:val="24"/>
          <w:rtl/>
        </w:rPr>
        <w:t>–</w:t>
      </w:r>
      <w:r>
        <w:rPr>
          <w:rFonts w:hint="cs"/>
          <w:sz w:val="24"/>
          <w:rtl/>
        </w:rPr>
        <w:t xml:space="preserve"> היא דווקא הגיונית. המשמעות המוסדית של גישה כזו תהיה עלייה בתדירות הביקורת השיפוטית החוקתית בערכאות הדיון, אך תוך הכרה </w:t>
      </w:r>
      <w:r>
        <w:rPr>
          <w:rFonts w:hint="cs"/>
          <w:sz w:val="24"/>
          <w:rtl/>
        </w:rPr>
        <w:lastRenderedPageBreak/>
        <w:t xml:space="preserve">בכך שרבות מן ההחלטות הללו תתבטלנה בערעור (בגלל הריסון העצמי המוגבר שיופעל בערכאות הגבוהות). מנקודת המבט של הטיעון הדמוקרטי בזכות ביקורת שיפוטית ביזורית זו תוצאה שאינה מעוררת קושי. </w:t>
      </w:r>
    </w:p>
    <w:p w:rsidR="00E26AB5" w:rsidRPr="00106D3A" w:rsidRDefault="00E26AB5" w:rsidP="00333169">
      <w:pPr>
        <w:ind w:firstLine="720"/>
        <w:jc w:val="both"/>
        <w:rPr>
          <w:sz w:val="24"/>
          <w:rtl/>
        </w:rPr>
      </w:pPr>
      <w:r w:rsidRPr="00106D3A">
        <w:rPr>
          <w:rFonts w:hint="cs"/>
          <w:b/>
          <w:bCs/>
          <w:sz w:val="24"/>
          <w:rtl/>
        </w:rPr>
        <w:t>גיבוש אתוס מקצועי</w:t>
      </w:r>
      <w:r w:rsidRPr="00106D3A">
        <w:rPr>
          <w:rFonts w:hint="cs"/>
          <w:sz w:val="24"/>
          <w:rtl/>
        </w:rPr>
        <w:t xml:space="preserve">. אפשרות </w:t>
      </w:r>
      <w:r w:rsidR="00A238A0">
        <w:rPr>
          <w:rFonts w:hint="cs"/>
          <w:sz w:val="24"/>
          <w:rtl/>
        </w:rPr>
        <w:t xml:space="preserve">אחרת </w:t>
      </w:r>
      <w:r w:rsidRPr="00106D3A">
        <w:rPr>
          <w:rFonts w:hint="cs"/>
          <w:sz w:val="24"/>
          <w:rtl/>
        </w:rPr>
        <w:t xml:space="preserve">לעידוד הפנייה למסלול הביזורי אינה מתבססת על </w:t>
      </w:r>
      <w:r w:rsidR="003E7B4D" w:rsidRPr="00106D3A">
        <w:rPr>
          <w:rFonts w:hint="cs"/>
          <w:sz w:val="24"/>
          <w:rtl/>
        </w:rPr>
        <w:t xml:space="preserve">שינוי המשפט, </w:t>
      </w:r>
      <w:r w:rsidRPr="00106D3A">
        <w:rPr>
          <w:rFonts w:hint="cs"/>
          <w:sz w:val="24"/>
          <w:rtl/>
        </w:rPr>
        <w:t xml:space="preserve">אלא על שינוי בתרבות מוסדית. מנקודת המבט של השפיטה, ניתן לנקוט באמצעים "רכים" כדי לעודד את השופטים בערכאות הדיון שלא לחשוש מהפעלת סמכותם החוקתית. הימנעות מאמירות ביקורתיות מן הסוג שהופיע בפסק דינו של בית המשפט המחוזי בערעור בעניין </w:t>
      </w:r>
      <w:proofErr w:type="spellStart"/>
      <w:r w:rsidRPr="00106D3A">
        <w:rPr>
          <w:rFonts w:hint="cs"/>
          <w:sz w:val="24"/>
          <w:rtl/>
        </w:rPr>
        <w:t>הנדלמן</w:t>
      </w:r>
      <w:proofErr w:type="spellEnd"/>
      <w:r w:rsidRPr="00106D3A">
        <w:rPr>
          <w:rFonts w:hint="cs"/>
          <w:sz w:val="24"/>
          <w:rtl/>
        </w:rPr>
        <w:t xml:space="preserve"> היא דוגמה לכך.</w:t>
      </w:r>
      <w:r w:rsidRPr="00106D3A">
        <w:rPr>
          <w:rStyle w:val="FootnoteReference"/>
          <w:sz w:val="24"/>
          <w:rtl/>
        </w:rPr>
        <w:footnoteReference w:id="132"/>
      </w:r>
      <w:r w:rsidRPr="00106D3A">
        <w:rPr>
          <w:rFonts w:hint="cs"/>
          <w:sz w:val="24"/>
          <w:rtl/>
        </w:rPr>
        <w:t xml:space="preserve"> למעשה, ניתן אף לתגמל שופטים שמכירים בחשיבותם לפיתוח השיח החוקתי </w:t>
      </w:r>
      <w:r w:rsidRPr="00106D3A">
        <w:rPr>
          <w:sz w:val="24"/>
          <w:rtl/>
        </w:rPr>
        <w:t>–</w:t>
      </w:r>
      <w:r w:rsidRPr="00106D3A">
        <w:rPr>
          <w:rFonts w:hint="cs"/>
          <w:sz w:val="24"/>
          <w:rtl/>
        </w:rPr>
        <w:t xml:space="preserve"> למשל בהליכי הקידום. זהו מסר חשוב, מפני שסביר לצפות משופט רציונאלי החרד למעמדו ולקידומו, שישאף לא להצטייר כ"עושה צרות" הנכון לבטל חקיקה. אם יונחל לשופטים שביקורת שיפוטית בערכאות הדיון אינה "צרה" אלא תופעה רצויה דווקא (כמובן ככל שהיא מנומקת ועומדת ביתר תנאי ההגינות הדיונית), הרי שמערך התמריצים הפועל עליהם עשוי להשתנות. </w:t>
      </w:r>
    </w:p>
    <w:p w:rsidR="00E26AB5" w:rsidRPr="00106D3A" w:rsidRDefault="00E26AB5" w:rsidP="00383E80">
      <w:pPr>
        <w:ind w:firstLine="720"/>
        <w:jc w:val="both"/>
        <w:rPr>
          <w:sz w:val="24"/>
          <w:rtl/>
        </w:rPr>
      </w:pPr>
      <w:r w:rsidRPr="00106D3A">
        <w:rPr>
          <w:rFonts w:hint="cs"/>
          <w:sz w:val="24"/>
          <w:rtl/>
        </w:rPr>
        <w:t xml:space="preserve">מנקודת המבט של הפרופסיה המשפטית, ראוי לתמרץ עורכי דין לקדם את המישור הביזורי. אמנם העלות של הכללת טענה חוקתית בטיעונים </w:t>
      </w:r>
      <w:r w:rsidR="00383E80" w:rsidRPr="00106D3A">
        <w:rPr>
          <w:rFonts w:hint="cs"/>
          <w:sz w:val="24"/>
          <w:rtl/>
        </w:rPr>
        <w:t>ב</w:t>
      </w:r>
      <w:r w:rsidRPr="00106D3A">
        <w:rPr>
          <w:rFonts w:hint="cs"/>
          <w:sz w:val="24"/>
          <w:rtl/>
        </w:rPr>
        <w:t xml:space="preserve">הליך אזרחי או פלילי אינה גבוהה, ואכן בעלי דין מרבים לעשות זאת, לעתים לתפארת המליצה. אך האתגר הוא לרתום למערכה זו את עורכי הדין "הרציניים" ואת הארגונים העוסקים בייצוג משפטי אשר פיתחו מומחיות בניהול עתירות חוקתיות בבג"ץ. זה אתגר משמעותי, מפני שהמסלול הריכוזי זול יותר ויש בו הסתברות לדיבידנד מהיר ומשמעותי מבחינת עוצמת ההישג המשפטי והמוניטין הנלווה אליו. </w:t>
      </w:r>
      <w:r w:rsidR="00E60951" w:rsidRPr="00106D3A">
        <w:rPr>
          <w:rFonts w:hint="cs"/>
          <w:sz w:val="24"/>
          <w:rtl/>
        </w:rPr>
        <w:t xml:space="preserve">עבור עורך הדין, </w:t>
      </w:r>
      <w:r w:rsidRPr="00106D3A">
        <w:rPr>
          <w:rFonts w:hint="cs"/>
          <w:sz w:val="24"/>
          <w:rtl/>
        </w:rPr>
        <w:t xml:space="preserve">בחירה בנתיב הביזורי משמעה ניהול סדרה יקרה של מאבקים שההישג בהם הוא, במקרה הטוב, תוצאה מצטברת לאורך זמן. אך אם הקהילה המשפטית תתגמל במעמד וביוקרה דווקא את הבוחרים בדרך זו, ייתכן שיהיה בכך כדי לאזן במשהו את עלויותיה.  </w:t>
      </w:r>
    </w:p>
    <w:p w:rsidR="00602638" w:rsidRPr="00602638" w:rsidRDefault="00602638" w:rsidP="00602638">
      <w:bookmarkStart w:id="49" w:name="_Toc372223069"/>
    </w:p>
    <w:p w:rsidR="003A11A0" w:rsidRPr="00106D3A" w:rsidRDefault="003A11A0" w:rsidP="00D374A3">
      <w:pPr>
        <w:pStyle w:val="Heading2"/>
      </w:pPr>
      <w:r w:rsidRPr="00106D3A">
        <w:rPr>
          <w:rFonts w:hint="cs"/>
          <w:rtl/>
        </w:rPr>
        <w:t>תקיפה ישירה ותקיפה עקיפה</w:t>
      </w:r>
      <w:bookmarkEnd w:id="49"/>
    </w:p>
    <w:p w:rsidR="00856CFC" w:rsidRPr="00106D3A" w:rsidRDefault="00213E9F" w:rsidP="005472E2">
      <w:pPr>
        <w:ind w:firstLine="720"/>
        <w:jc w:val="both"/>
        <w:rPr>
          <w:sz w:val="24"/>
          <w:rtl/>
        </w:rPr>
      </w:pPr>
      <w:r w:rsidRPr="00106D3A">
        <w:rPr>
          <w:rFonts w:hint="cs"/>
          <w:sz w:val="24"/>
          <w:rtl/>
        </w:rPr>
        <w:t xml:space="preserve">אני מבקש </w:t>
      </w:r>
      <w:r w:rsidR="00676FC3" w:rsidRPr="00106D3A">
        <w:rPr>
          <w:rFonts w:hint="cs"/>
          <w:sz w:val="24"/>
          <w:rtl/>
        </w:rPr>
        <w:t xml:space="preserve">כאן </w:t>
      </w:r>
      <w:r w:rsidRPr="00106D3A">
        <w:rPr>
          <w:rFonts w:hint="cs"/>
          <w:sz w:val="24"/>
          <w:rtl/>
        </w:rPr>
        <w:t xml:space="preserve">לחזור לנקודה שנרמזה בראשית המאמר. </w:t>
      </w:r>
      <w:r w:rsidR="00720DF0" w:rsidRPr="00106D3A">
        <w:rPr>
          <w:rFonts w:hint="cs"/>
          <w:sz w:val="24"/>
          <w:rtl/>
        </w:rPr>
        <w:t>מקובל</w:t>
      </w:r>
      <w:r w:rsidR="00D11AB9" w:rsidRPr="00106D3A">
        <w:rPr>
          <w:rFonts w:hint="cs"/>
          <w:sz w:val="24"/>
          <w:rtl/>
        </w:rPr>
        <w:t xml:space="preserve"> להניח</w:t>
      </w:r>
      <w:r w:rsidR="006C7433" w:rsidRPr="00106D3A">
        <w:rPr>
          <w:rFonts w:hint="cs"/>
          <w:sz w:val="24"/>
          <w:rtl/>
        </w:rPr>
        <w:t>, גם בפסיקת בית המשפט העליון,</w:t>
      </w:r>
      <w:r w:rsidR="00720DF0" w:rsidRPr="00106D3A">
        <w:rPr>
          <w:rFonts w:hint="cs"/>
          <w:sz w:val="24"/>
          <w:rtl/>
        </w:rPr>
        <w:t xml:space="preserve"> שביקורת שיפוטית ביזורית </w:t>
      </w:r>
      <w:r w:rsidR="006C7433" w:rsidRPr="00106D3A">
        <w:rPr>
          <w:rFonts w:hint="cs"/>
          <w:sz w:val="24"/>
          <w:rtl/>
        </w:rPr>
        <w:t>מתאפיינת ב</w:t>
      </w:r>
      <w:r w:rsidR="00720DF0" w:rsidRPr="00106D3A">
        <w:rPr>
          <w:rFonts w:hint="cs"/>
          <w:sz w:val="24"/>
          <w:rtl/>
        </w:rPr>
        <w:t>תקיפה עקיפה של חקיקה, בעוד הביקורת השיפוטית</w:t>
      </w:r>
      <w:r w:rsidR="006C7433" w:rsidRPr="00106D3A">
        <w:rPr>
          <w:rFonts w:hint="cs"/>
          <w:sz w:val="24"/>
          <w:rtl/>
        </w:rPr>
        <w:t xml:space="preserve"> הריכוזית </w:t>
      </w:r>
      <w:r w:rsidR="00720DF0" w:rsidRPr="00106D3A">
        <w:rPr>
          <w:rFonts w:hint="cs"/>
          <w:sz w:val="24"/>
          <w:rtl/>
        </w:rPr>
        <w:t xml:space="preserve">עניינה בתקיפה ישירה. </w:t>
      </w:r>
      <w:r w:rsidR="006C7433" w:rsidRPr="00106D3A">
        <w:rPr>
          <w:rFonts w:hint="cs"/>
          <w:sz w:val="24"/>
          <w:rtl/>
        </w:rPr>
        <w:t>במקרה של בג"ץ זה</w:t>
      </w:r>
      <w:r w:rsidR="00291D4D" w:rsidRPr="00106D3A">
        <w:rPr>
          <w:rFonts w:hint="cs"/>
          <w:sz w:val="24"/>
          <w:rtl/>
        </w:rPr>
        <w:t>ו</w:t>
      </w:r>
      <w:r w:rsidR="006C7433" w:rsidRPr="00106D3A">
        <w:rPr>
          <w:rFonts w:hint="cs"/>
          <w:sz w:val="24"/>
          <w:rtl/>
        </w:rPr>
        <w:t xml:space="preserve"> </w:t>
      </w:r>
      <w:proofErr w:type="spellStart"/>
      <w:r w:rsidR="006C7433" w:rsidRPr="00106D3A">
        <w:rPr>
          <w:rFonts w:hint="cs"/>
          <w:sz w:val="24"/>
          <w:rtl/>
        </w:rPr>
        <w:t>א</w:t>
      </w:r>
      <w:r w:rsidR="00C53719" w:rsidRPr="00106D3A">
        <w:rPr>
          <w:rFonts w:hint="cs"/>
          <w:sz w:val="24"/>
          <w:rtl/>
        </w:rPr>
        <w:t>י</w:t>
      </w:r>
      <w:r w:rsidR="006C7433" w:rsidRPr="00106D3A">
        <w:rPr>
          <w:rFonts w:hint="cs"/>
          <w:sz w:val="24"/>
          <w:rtl/>
        </w:rPr>
        <w:t>פיון</w:t>
      </w:r>
      <w:proofErr w:type="spellEnd"/>
      <w:r w:rsidR="006C7433" w:rsidRPr="00106D3A">
        <w:rPr>
          <w:rFonts w:hint="cs"/>
          <w:sz w:val="24"/>
          <w:rtl/>
        </w:rPr>
        <w:t xml:space="preserve"> </w:t>
      </w:r>
      <w:r w:rsidR="00C45C6E" w:rsidRPr="00106D3A">
        <w:rPr>
          <w:rFonts w:hint="cs"/>
          <w:sz w:val="24"/>
          <w:rtl/>
        </w:rPr>
        <w:t>ש</w:t>
      </w:r>
      <w:r w:rsidR="00C53719" w:rsidRPr="00106D3A">
        <w:rPr>
          <w:rFonts w:hint="cs"/>
          <w:sz w:val="24"/>
          <w:rtl/>
        </w:rPr>
        <w:t>ה</w:t>
      </w:r>
      <w:r w:rsidR="00C45C6E" w:rsidRPr="00106D3A">
        <w:rPr>
          <w:rFonts w:hint="cs"/>
          <w:sz w:val="24"/>
          <w:rtl/>
        </w:rPr>
        <w:t xml:space="preserve">וא ככלל </w:t>
      </w:r>
      <w:r w:rsidR="006C7433" w:rsidRPr="00106D3A">
        <w:rPr>
          <w:rFonts w:hint="cs"/>
          <w:sz w:val="24"/>
          <w:rtl/>
        </w:rPr>
        <w:t xml:space="preserve">נכון </w:t>
      </w:r>
      <w:r w:rsidR="006C7433" w:rsidRPr="00106D3A">
        <w:rPr>
          <w:sz w:val="24"/>
          <w:rtl/>
        </w:rPr>
        <w:t>–</w:t>
      </w:r>
      <w:r w:rsidR="00971FF8" w:rsidRPr="00106D3A">
        <w:rPr>
          <w:rFonts w:hint="cs"/>
          <w:sz w:val="24"/>
          <w:rtl/>
        </w:rPr>
        <w:t xml:space="preserve"> ההליכים הנדונים בו הם בהגדרה עתירות של פרט נגד המעשה השלטוני, ובהקשר החוקתי מדובר בטענה לבטלותו של חוק. </w:t>
      </w:r>
      <w:r w:rsidR="005472E2" w:rsidRPr="00106D3A">
        <w:rPr>
          <w:rFonts w:hint="cs"/>
          <w:sz w:val="24"/>
          <w:rtl/>
        </w:rPr>
        <w:t xml:space="preserve">אך בהקשר הביזורי התמונה מורכבת יותר, וככל שהשיטה הישראלית תיטה </w:t>
      </w:r>
      <w:r w:rsidR="005472E2" w:rsidRPr="00106D3A">
        <w:rPr>
          <w:sz w:val="24"/>
          <w:rtl/>
        </w:rPr>
        <w:t>–</w:t>
      </w:r>
      <w:r w:rsidR="005472E2" w:rsidRPr="00106D3A">
        <w:rPr>
          <w:rFonts w:hint="cs"/>
          <w:sz w:val="24"/>
          <w:rtl/>
        </w:rPr>
        <w:t xml:space="preserve"> כפי שממליץ המאמר </w:t>
      </w:r>
      <w:r w:rsidR="005472E2" w:rsidRPr="00106D3A">
        <w:rPr>
          <w:sz w:val="24"/>
          <w:rtl/>
        </w:rPr>
        <w:t>–</w:t>
      </w:r>
      <w:r w:rsidR="005472E2" w:rsidRPr="00106D3A">
        <w:rPr>
          <w:rFonts w:hint="cs"/>
          <w:sz w:val="24"/>
          <w:rtl/>
        </w:rPr>
        <w:t xml:space="preserve"> לכיוון הביזורי, הרי שהיא תידרש להנחות באופן ברור את ערכאות הדיון לגבי סוגי ההליכים שבכוחן לנהל בתחום החוקתי. </w:t>
      </w:r>
    </w:p>
    <w:p w:rsidR="00927EEC" w:rsidRPr="00106D3A" w:rsidRDefault="00C20B71" w:rsidP="00121A2D">
      <w:pPr>
        <w:ind w:firstLine="720"/>
        <w:jc w:val="both"/>
        <w:rPr>
          <w:sz w:val="24"/>
          <w:rtl/>
        </w:rPr>
      </w:pPr>
      <w:r w:rsidRPr="00106D3A">
        <w:rPr>
          <w:rFonts w:hint="cs"/>
          <w:b/>
          <w:bCs/>
          <w:sz w:val="24"/>
          <w:rtl/>
        </w:rPr>
        <w:t>תקיפה עקיפה הגנתית</w:t>
      </w:r>
      <w:r w:rsidRPr="00106D3A">
        <w:rPr>
          <w:rFonts w:hint="cs"/>
          <w:sz w:val="24"/>
          <w:rtl/>
        </w:rPr>
        <w:t xml:space="preserve">. </w:t>
      </w:r>
      <w:r w:rsidR="00D52FE8" w:rsidRPr="00106D3A">
        <w:rPr>
          <w:rFonts w:hint="cs"/>
          <w:sz w:val="24"/>
          <w:rtl/>
        </w:rPr>
        <w:t xml:space="preserve">מובן שההליך הטבעי להבאת טענה חוקתית בפני ערכאה נמוכה הנו בתקיפה עקיפה. </w:t>
      </w:r>
      <w:r w:rsidR="00C078AF" w:rsidRPr="00106D3A">
        <w:rPr>
          <w:rFonts w:hint="cs"/>
          <w:sz w:val="24"/>
          <w:rtl/>
        </w:rPr>
        <w:t xml:space="preserve">הפרט נתבע בדין </w:t>
      </w:r>
      <w:r w:rsidR="006B2655" w:rsidRPr="00106D3A">
        <w:rPr>
          <w:sz w:val="24"/>
          <w:rtl/>
        </w:rPr>
        <w:t>–</w:t>
      </w:r>
      <w:r w:rsidR="006B2655" w:rsidRPr="00106D3A">
        <w:rPr>
          <w:rFonts w:hint="cs"/>
          <w:sz w:val="24"/>
          <w:rtl/>
        </w:rPr>
        <w:t xml:space="preserve"> בין בהליך פלילי ובין בהליך אזרחי </w:t>
      </w:r>
      <w:r w:rsidR="006B2655" w:rsidRPr="00106D3A">
        <w:rPr>
          <w:sz w:val="24"/>
          <w:rtl/>
        </w:rPr>
        <w:t>–</w:t>
      </w:r>
      <w:r w:rsidR="006B2655" w:rsidRPr="00106D3A">
        <w:rPr>
          <w:rFonts w:hint="cs"/>
          <w:sz w:val="24"/>
          <w:rtl/>
        </w:rPr>
        <w:t xml:space="preserve"> </w:t>
      </w:r>
      <w:r w:rsidR="00C078AF" w:rsidRPr="00106D3A">
        <w:rPr>
          <w:rFonts w:hint="cs"/>
          <w:sz w:val="24"/>
          <w:rtl/>
        </w:rPr>
        <w:t>לקיים חובה כלשהי</w:t>
      </w:r>
      <w:r w:rsidR="001528AC" w:rsidRPr="00106D3A">
        <w:rPr>
          <w:rFonts w:hint="cs"/>
          <w:sz w:val="24"/>
          <w:rtl/>
        </w:rPr>
        <w:t xml:space="preserve"> או לספוג סנקציה כלשהי</w:t>
      </w:r>
      <w:r w:rsidR="00C078AF" w:rsidRPr="00106D3A">
        <w:rPr>
          <w:rFonts w:hint="cs"/>
          <w:sz w:val="24"/>
          <w:rtl/>
        </w:rPr>
        <w:t xml:space="preserve">, </w:t>
      </w:r>
      <w:r w:rsidR="002C421A" w:rsidRPr="00106D3A">
        <w:rPr>
          <w:rFonts w:hint="cs"/>
          <w:sz w:val="24"/>
          <w:rtl/>
        </w:rPr>
        <w:t xml:space="preserve">ולהגנתו </w:t>
      </w:r>
      <w:r w:rsidR="00C078AF" w:rsidRPr="00106D3A">
        <w:rPr>
          <w:rFonts w:hint="cs"/>
          <w:sz w:val="24"/>
          <w:rtl/>
        </w:rPr>
        <w:t xml:space="preserve">הוא טוען שהחובה אינה חלה </w:t>
      </w:r>
      <w:r w:rsidR="001528AC" w:rsidRPr="00106D3A">
        <w:rPr>
          <w:rFonts w:hint="cs"/>
          <w:sz w:val="24"/>
          <w:rtl/>
        </w:rPr>
        <w:t xml:space="preserve">או שהסנקציה אינה תקפה </w:t>
      </w:r>
      <w:r w:rsidR="00C078AF" w:rsidRPr="00106D3A">
        <w:rPr>
          <w:rFonts w:hint="cs"/>
          <w:sz w:val="24"/>
          <w:rtl/>
        </w:rPr>
        <w:t>משום שמקורה</w:t>
      </w:r>
      <w:r w:rsidR="00205110" w:rsidRPr="00106D3A">
        <w:rPr>
          <w:rFonts w:hint="cs"/>
          <w:sz w:val="24"/>
          <w:rtl/>
        </w:rPr>
        <w:t>ּ</w:t>
      </w:r>
      <w:r w:rsidR="00C078AF" w:rsidRPr="00106D3A">
        <w:rPr>
          <w:rFonts w:hint="cs"/>
          <w:sz w:val="24"/>
          <w:rtl/>
        </w:rPr>
        <w:t xml:space="preserve"> בחוק שאינו חוקתי. </w:t>
      </w:r>
      <w:r w:rsidR="00B644B2" w:rsidRPr="00106D3A">
        <w:rPr>
          <w:rFonts w:hint="cs"/>
          <w:sz w:val="24"/>
          <w:rtl/>
        </w:rPr>
        <w:t xml:space="preserve">במסלול זה חייב בית המשפט לברר את תקפם של הדינים אותם הוא מתבקש להחיל, ופעולה זו עשויה לכלול גם מסקנה לפיה חוק כלשהו אינו מקיים את תנאי התוקף של חוק-היסוד שמעליו. </w:t>
      </w:r>
      <w:r w:rsidR="008F5CB5" w:rsidRPr="00106D3A">
        <w:rPr>
          <w:rFonts w:hint="cs"/>
          <w:sz w:val="24"/>
          <w:rtl/>
        </w:rPr>
        <w:t>חשוב לציין עם זאת שאין מדובר כאן בהפעלת "סמכות נגררת"</w:t>
      </w:r>
      <w:r w:rsidR="00C86C69" w:rsidRPr="00106D3A">
        <w:rPr>
          <w:rFonts w:hint="cs"/>
          <w:sz w:val="24"/>
          <w:rtl/>
        </w:rPr>
        <w:t>.</w:t>
      </w:r>
      <w:r w:rsidR="00121A2D" w:rsidRPr="00106D3A">
        <w:rPr>
          <w:rStyle w:val="FootnoteReference"/>
          <w:sz w:val="24"/>
          <w:rtl/>
        </w:rPr>
        <w:footnoteReference w:id="133"/>
      </w:r>
      <w:r w:rsidR="00C86C69" w:rsidRPr="00106D3A">
        <w:rPr>
          <w:rFonts w:hint="cs"/>
          <w:sz w:val="24"/>
          <w:rtl/>
        </w:rPr>
        <w:t xml:space="preserve"> </w:t>
      </w:r>
      <w:r w:rsidR="001638BE" w:rsidRPr="00106D3A">
        <w:rPr>
          <w:rFonts w:hint="cs"/>
          <w:sz w:val="24"/>
          <w:rtl/>
        </w:rPr>
        <w:t>סמכות נגררת מתירה לבית משפט להכריע בשאלה המצויה "בסמכותו הייחודית של בית משפט אחר".</w:t>
      </w:r>
      <w:r w:rsidR="00C05800" w:rsidRPr="00106D3A">
        <w:rPr>
          <w:rStyle w:val="FootnoteReference"/>
          <w:sz w:val="24"/>
          <w:rtl/>
        </w:rPr>
        <w:footnoteReference w:id="134"/>
      </w:r>
      <w:r w:rsidR="001638BE" w:rsidRPr="00106D3A">
        <w:rPr>
          <w:rFonts w:hint="cs"/>
          <w:sz w:val="24"/>
          <w:rtl/>
        </w:rPr>
        <w:t xml:space="preserve"> </w:t>
      </w:r>
      <w:r w:rsidR="00E1183C" w:rsidRPr="00106D3A">
        <w:rPr>
          <w:rFonts w:hint="cs"/>
          <w:sz w:val="24"/>
          <w:rtl/>
        </w:rPr>
        <w:t>שאלת תוקפו של חוק אינה מצויה ב</w:t>
      </w:r>
      <w:r w:rsidR="007B56A3" w:rsidRPr="00106D3A">
        <w:rPr>
          <w:rFonts w:hint="cs"/>
          <w:sz w:val="24"/>
          <w:rtl/>
        </w:rPr>
        <w:t>סמכותו הייחודית של בג"ץ</w:t>
      </w:r>
      <w:r w:rsidR="00A07723" w:rsidRPr="00106D3A">
        <w:rPr>
          <w:rFonts w:hint="cs"/>
          <w:sz w:val="24"/>
          <w:rtl/>
        </w:rPr>
        <w:t xml:space="preserve">; </w:t>
      </w:r>
      <w:r w:rsidR="00927EEC" w:rsidRPr="00106D3A">
        <w:rPr>
          <w:rFonts w:hint="cs"/>
          <w:sz w:val="24"/>
          <w:rtl/>
        </w:rPr>
        <w:t xml:space="preserve">היא חלק </w:t>
      </w:r>
      <w:r w:rsidR="00927EEC" w:rsidRPr="00106D3A">
        <w:rPr>
          <w:rFonts w:hint="cs"/>
          <w:sz w:val="24"/>
          <w:rtl/>
        </w:rPr>
        <w:lastRenderedPageBreak/>
        <w:t xml:space="preserve">מסמכותו של כל בית משפט לפרש את הדין שהוא נדרש ליישם ובמסגרת זו </w:t>
      </w:r>
      <w:r w:rsidR="00121A2D" w:rsidRPr="00106D3A">
        <w:rPr>
          <w:rFonts w:hint="cs"/>
          <w:sz w:val="24"/>
          <w:rtl/>
        </w:rPr>
        <w:t xml:space="preserve">גם </w:t>
      </w:r>
      <w:r w:rsidR="00927EEC" w:rsidRPr="00106D3A">
        <w:rPr>
          <w:rFonts w:hint="cs"/>
          <w:sz w:val="24"/>
          <w:rtl/>
        </w:rPr>
        <w:t xml:space="preserve">לקבוע את תקפו. </w:t>
      </w:r>
      <w:r w:rsidR="002C022C" w:rsidRPr="00106D3A">
        <w:rPr>
          <w:rFonts w:hint="cs"/>
          <w:sz w:val="24"/>
          <w:rtl/>
        </w:rPr>
        <w:t xml:space="preserve">אחת המשמעויות </w:t>
      </w:r>
      <w:r w:rsidR="00FB63DC" w:rsidRPr="00106D3A">
        <w:rPr>
          <w:rFonts w:hint="cs"/>
          <w:sz w:val="24"/>
          <w:rtl/>
        </w:rPr>
        <w:t xml:space="preserve">המעשיות </w:t>
      </w:r>
      <w:r w:rsidR="002C022C" w:rsidRPr="00106D3A">
        <w:rPr>
          <w:rFonts w:hint="cs"/>
          <w:sz w:val="24"/>
          <w:rtl/>
        </w:rPr>
        <w:t xml:space="preserve">של תובנה זו הינה, שביקורת שיפוטית שנעשית במסגרת ערעור בבית המשפט המחוזי </w:t>
      </w:r>
      <w:r w:rsidR="00035283" w:rsidRPr="00106D3A">
        <w:rPr>
          <w:rFonts w:hint="cs"/>
          <w:sz w:val="24"/>
          <w:rtl/>
        </w:rPr>
        <w:t xml:space="preserve">היא </w:t>
      </w:r>
      <w:r w:rsidR="00DE32D3" w:rsidRPr="00106D3A">
        <w:rPr>
          <w:rFonts w:hint="cs"/>
          <w:sz w:val="24"/>
          <w:rtl/>
        </w:rPr>
        <w:t>קביעה משפטית ש</w:t>
      </w:r>
      <w:r w:rsidR="002C022C" w:rsidRPr="00106D3A">
        <w:rPr>
          <w:rFonts w:hint="cs"/>
          <w:sz w:val="24"/>
          <w:rtl/>
        </w:rPr>
        <w:t>מהווה הלכה ה</w:t>
      </w:r>
      <w:r w:rsidR="00D26478" w:rsidRPr="00106D3A">
        <w:rPr>
          <w:rFonts w:hint="cs"/>
          <w:sz w:val="24"/>
          <w:rtl/>
        </w:rPr>
        <w:t>מנחה את בתי משפט השלום</w:t>
      </w:r>
      <w:r w:rsidR="00C860ED" w:rsidRPr="00106D3A">
        <w:rPr>
          <w:rFonts w:hint="cs"/>
          <w:sz w:val="24"/>
          <w:rtl/>
        </w:rPr>
        <w:t>;</w:t>
      </w:r>
      <w:r w:rsidR="00D26478" w:rsidRPr="00106D3A">
        <w:rPr>
          <w:rFonts w:hint="cs"/>
          <w:sz w:val="24"/>
          <w:rtl/>
        </w:rPr>
        <w:t xml:space="preserve"> </w:t>
      </w:r>
      <w:r w:rsidR="00DE32D3" w:rsidRPr="00106D3A">
        <w:rPr>
          <w:rFonts w:hint="cs"/>
          <w:sz w:val="24"/>
          <w:rtl/>
        </w:rPr>
        <w:t>זו אינה הכרעה "לצורך אותו עניין</w:t>
      </w:r>
      <w:r w:rsidR="000F5418" w:rsidRPr="00106D3A">
        <w:rPr>
          <w:rFonts w:hint="cs"/>
          <w:sz w:val="24"/>
          <w:rtl/>
        </w:rPr>
        <w:t>"</w:t>
      </w:r>
      <w:r w:rsidR="006D23CC" w:rsidRPr="00106D3A">
        <w:rPr>
          <w:rStyle w:val="FootnoteReference"/>
          <w:sz w:val="24"/>
          <w:rtl/>
        </w:rPr>
        <w:footnoteReference w:id="135"/>
      </w:r>
      <w:r w:rsidR="000F5418" w:rsidRPr="00106D3A">
        <w:rPr>
          <w:rFonts w:hint="cs"/>
          <w:sz w:val="24"/>
          <w:rtl/>
        </w:rPr>
        <w:t xml:space="preserve"> בלבד. </w:t>
      </w:r>
    </w:p>
    <w:p w:rsidR="001911C9" w:rsidRPr="00106D3A" w:rsidRDefault="00C20B71" w:rsidP="008A2A5D">
      <w:pPr>
        <w:ind w:firstLine="720"/>
        <w:jc w:val="both"/>
        <w:rPr>
          <w:sz w:val="24"/>
          <w:rtl/>
        </w:rPr>
      </w:pPr>
      <w:r w:rsidRPr="00106D3A">
        <w:rPr>
          <w:rFonts w:hint="cs"/>
          <w:b/>
          <w:bCs/>
          <w:sz w:val="24"/>
          <w:rtl/>
        </w:rPr>
        <w:t>תקיפה עקיפה התקפית</w:t>
      </w:r>
      <w:r w:rsidRPr="00106D3A">
        <w:rPr>
          <w:rFonts w:hint="cs"/>
          <w:sz w:val="24"/>
          <w:rtl/>
        </w:rPr>
        <w:t xml:space="preserve">. </w:t>
      </w:r>
      <w:r w:rsidR="001911C9" w:rsidRPr="00106D3A">
        <w:rPr>
          <w:rFonts w:hint="cs"/>
          <w:sz w:val="24"/>
          <w:rtl/>
        </w:rPr>
        <w:t xml:space="preserve">אפשרות התקיפה העקיפה </w:t>
      </w:r>
      <w:r w:rsidR="00244F1B" w:rsidRPr="00106D3A">
        <w:rPr>
          <w:rFonts w:hint="cs"/>
          <w:sz w:val="24"/>
          <w:rtl/>
        </w:rPr>
        <w:t xml:space="preserve">ההגנתית </w:t>
      </w:r>
      <w:r w:rsidR="001911C9" w:rsidRPr="00106D3A">
        <w:rPr>
          <w:rFonts w:hint="cs"/>
          <w:sz w:val="24"/>
          <w:rtl/>
        </w:rPr>
        <w:t xml:space="preserve">בערכאות הדיון </w:t>
      </w:r>
      <w:r w:rsidR="00244F1B" w:rsidRPr="00106D3A">
        <w:rPr>
          <w:rFonts w:hint="cs"/>
          <w:sz w:val="24"/>
          <w:rtl/>
        </w:rPr>
        <w:t xml:space="preserve">אינה חוסמת </w:t>
      </w:r>
      <w:r w:rsidR="001303F5">
        <w:rPr>
          <w:rFonts w:hint="cs"/>
          <w:sz w:val="24"/>
          <w:rtl/>
        </w:rPr>
        <w:t xml:space="preserve">את </w:t>
      </w:r>
      <w:r w:rsidR="001911C9" w:rsidRPr="00106D3A">
        <w:rPr>
          <w:rFonts w:hint="cs"/>
          <w:sz w:val="24"/>
          <w:rtl/>
        </w:rPr>
        <w:t xml:space="preserve">הדרך גם לתקיפה </w:t>
      </w:r>
      <w:r w:rsidR="00432DCE" w:rsidRPr="00106D3A">
        <w:rPr>
          <w:rFonts w:hint="cs"/>
          <w:sz w:val="24"/>
          <w:rtl/>
        </w:rPr>
        <w:t xml:space="preserve">חוקתית עקיפה המועלית על </w:t>
      </w:r>
      <w:r w:rsidR="001911C9" w:rsidRPr="00106D3A">
        <w:rPr>
          <w:rFonts w:hint="cs"/>
          <w:sz w:val="24"/>
          <w:rtl/>
        </w:rPr>
        <w:t>ידי יוזם ההליך</w:t>
      </w:r>
      <w:r w:rsidR="00244F1B" w:rsidRPr="00106D3A">
        <w:rPr>
          <w:rFonts w:hint="cs"/>
          <w:sz w:val="24"/>
          <w:rtl/>
        </w:rPr>
        <w:t xml:space="preserve"> </w:t>
      </w:r>
      <w:r w:rsidR="00244F1B" w:rsidRPr="00106D3A">
        <w:rPr>
          <w:sz w:val="24"/>
          <w:rtl/>
        </w:rPr>
        <w:t>–</w:t>
      </w:r>
      <w:r w:rsidR="00244F1B" w:rsidRPr="00106D3A">
        <w:rPr>
          <w:rFonts w:hint="cs"/>
          <w:sz w:val="24"/>
          <w:rtl/>
        </w:rPr>
        <w:t xml:space="preserve"> כלומר תקיפה עקיפה התקפית</w:t>
      </w:r>
      <w:r w:rsidR="001911C9" w:rsidRPr="00106D3A">
        <w:rPr>
          <w:rFonts w:hint="cs"/>
          <w:sz w:val="24"/>
          <w:rtl/>
        </w:rPr>
        <w:t xml:space="preserve">. </w:t>
      </w:r>
      <w:r w:rsidR="00716EE5" w:rsidRPr="00106D3A">
        <w:rPr>
          <w:rFonts w:hint="cs"/>
          <w:sz w:val="24"/>
          <w:rtl/>
        </w:rPr>
        <w:t xml:space="preserve">אפשרות זו </w:t>
      </w:r>
      <w:r w:rsidR="00432DCE" w:rsidRPr="00106D3A">
        <w:rPr>
          <w:rFonts w:hint="cs"/>
          <w:sz w:val="24"/>
          <w:rtl/>
        </w:rPr>
        <w:t xml:space="preserve">הוכרה זה מכבר בפסיקתו של בית המשפט העליון, ולמעשה </w:t>
      </w:r>
      <w:r w:rsidR="001A241C" w:rsidRPr="00106D3A">
        <w:rPr>
          <w:rFonts w:hint="cs"/>
          <w:sz w:val="24"/>
          <w:rtl/>
        </w:rPr>
        <w:t xml:space="preserve">זמינותה </w:t>
      </w:r>
      <w:r w:rsidR="00283F5C" w:rsidRPr="00106D3A">
        <w:rPr>
          <w:rFonts w:hint="cs"/>
          <w:sz w:val="24"/>
          <w:rtl/>
        </w:rPr>
        <w:t xml:space="preserve">נתפסת </w:t>
      </w:r>
      <w:r w:rsidR="00432DCE" w:rsidRPr="00106D3A">
        <w:rPr>
          <w:rFonts w:hint="cs"/>
          <w:sz w:val="24"/>
          <w:rtl/>
        </w:rPr>
        <w:t>כ"סעד חלופי" שעשוי לשלול גישה לבג"ץ.</w:t>
      </w:r>
      <w:r w:rsidR="00B10D1B" w:rsidRPr="00106D3A">
        <w:rPr>
          <w:rStyle w:val="FootnoteReference"/>
          <w:sz w:val="24"/>
          <w:rtl/>
        </w:rPr>
        <w:footnoteReference w:id="136"/>
      </w:r>
      <w:r w:rsidR="00432DCE" w:rsidRPr="00106D3A">
        <w:rPr>
          <w:rFonts w:hint="cs"/>
          <w:sz w:val="24"/>
          <w:rtl/>
        </w:rPr>
        <w:t xml:space="preserve"> </w:t>
      </w:r>
      <w:r w:rsidR="00B03BC2" w:rsidRPr="00106D3A">
        <w:rPr>
          <w:rFonts w:hint="cs"/>
          <w:sz w:val="24"/>
          <w:rtl/>
        </w:rPr>
        <w:t xml:space="preserve">במקרה כזה תוגש </w:t>
      </w:r>
      <w:r w:rsidR="00F40AA0" w:rsidRPr="00106D3A">
        <w:rPr>
          <w:rFonts w:hint="cs"/>
          <w:sz w:val="24"/>
          <w:rtl/>
        </w:rPr>
        <w:t xml:space="preserve">לבית המשפט המוסמך </w:t>
      </w:r>
      <w:r w:rsidR="00B03BC2" w:rsidRPr="00106D3A">
        <w:rPr>
          <w:rFonts w:hint="cs"/>
          <w:sz w:val="24"/>
          <w:rtl/>
        </w:rPr>
        <w:t xml:space="preserve">תביעה אזרחית או עתירה מנהלית לקבלת סעד שנשלל </w:t>
      </w:r>
      <w:r w:rsidR="009A62DD" w:rsidRPr="00106D3A">
        <w:rPr>
          <w:rFonts w:hint="cs"/>
          <w:sz w:val="24"/>
          <w:rtl/>
        </w:rPr>
        <w:t xml:space="preserve">על-יסוד </w:t>
      </w:r>
      <w:r w:rsidR="00B03BC2" w:rsidRPr="00106D3A">
        <w:rPr>
          <w:rFonts w:hint="cs"/>
          <w:sz w:val="24"/>
          <w:rtl/>
        </w:rPr>
        <w:t xml:space="preserve">החוק השנוי במחלוקת, ובמסגרת ההליך הזה יטען יוזמו גם נגד חוקתיות החוק. </w:t>
      </w:r>
      <w:r w:rsidR="009A62DD" w:rsidRPr="00106D3A">
        <w:rPr>
          <w:rFonts w:hint="cs"/>
          <w:sz w:val="24"/>
          <w:rtl/>
        </w:rPr>
        <w:t xml:space="preserve">למעשה, זה היה המקרה בפרשת בנק המזרחי </w:t>
      </w:r>
      <w:r w:rsidR="009A62DD" w:rsidRPr="00106D3A">
        <w:rPr>
          <w:sz w:val="24"/>
          <w:rtl/>
        </w:rPr>
        <w:t>–</w:t>
      </w:r>
      <w:r w:rsidR="009A62DD" w:rsidRPr="00106D3A">
        <w:rPr>
          <w:rFonts w:hint="cs"/>
          <w:sz w:val="24"/>
          <w:rtl/>
        </w:rPr>
        <w:t xml:space="preserve"> שם תבעו הנושים השונים את המשקים החקלאיים למימוש חובותיהם, ובמסגרת ההליך טענו (כתובעים) ש"חוק גל" </w:t>
      </w:r>
      <w:r w:rsidR="00CC7F74" w:rsidRPr="00106D3A">
        <w:rPr>
          <w:rFonts w:hint="cs"/>
          <w:sz w:val="24"/>
          <w:rtl/>
        </w:rPr>
        <w:t xml:space="preserve">השולל את החוב אינו תקף. </w:t>
      </w:r>
      <w:r w:rsidR="009A62DD" w:rsidRPr="00106D3A">
        <w:rPr>
          <w:rFonts w:hint="cs"/>
          <w:sz w:val="24"/>
          <w:rtl/>
        </w:rPr>
        <w:t>תקיפה כזו אינה מעלה קושי מיוחד מבחינת התחולה הנורמטיבית שלה, שכן זו תהיה רק על הצדדים להליך</w:t>
      </w:r>
      <w:r w:rsidR="001C275F" w:rsidRPr="00106D3A">
        <w:rPr>
          <w:rFonts w:hint="cs"/>
          <w:sz w:val="24"/>
          <w:rtl/>
        </w:rPr>
        <w:t>, בדומה לתקיפה עקיפה הגנתית</w:t>
      </w:r>
      <w:r w:rsidR="009A62DD" w:rsidRPr="00106D3A">
        <w:rPr>
          <w:rFonts w:hint="cs"/>
          <w:sz w:val="24"/>
          <w:rtl/>
        </w:rPr>
        <w:t xml:space="preserve">. </w:t>
      </w:r>
      <w:r w:rsidR="006D6B81" w:rsidRPr="00106D3A">
        <w:rPr>
          <w:rFonts w:hint="cs"/>
          <w:sz w:val="24"/>
          <w:rtl/>
        </w:rPr>
        <w:t>היא גם אינה מעלה קושי אנליטי או מעשי, כי מבחינת בית המשפט הדן בטענה המצב שקול לתקיפה עקיפה הגנתית, כשההבדל היחיד הוא בעל הדין המעורר את הטענה החוקתית.</w:t>
      </w:r>
      <w:r w:rsidR="006E48A2" w:rsidRPr="00106D3A">
        <w:rPr>
          <w:rStyle w:val="FootnoteReference"/>
          <w:sz w:val="24"/>
          <w:rtl/>
        </w:rPr>
        <w:footnoteReference w:id="137"/>
      </w:r>
      <w:r w:rsidR="006D6B81" w:rsidRPr="00106D3A">
        <w:rPr>
          <w:rFonts w:hint="cs"/>
          <w:sz w:val="24"/>
          <w:rtl/>
        </w:rPr>
        <w:t xml:space="preserve"> </w:t>
      </w:r>
    </w:p>
    <w:p w:rsidR="00871726" w:rsidRPr="00106D3A" w:rsidRDefault="00366802" w:rsidP="00B17342">
      <w:pPr>
        <w:ind w:firstLine="720"/>
        <w:jc w:val="both"/>
        <w:rPr>
          <w:sz w:val="24"/>
          <w:rtl/>
        </w:rPr>
      </w:pPr>
      <w:r w:rsidRPr="00106D3A">
        <w:rPr>
          <w:rFonts w:hint="cs"/>
          <w:b/>
          <w:bCs/>
          <w:sz w:val="24"/>
          <w:rtl/>
        </w:rPr>
        <w:t>תקיפה ישירה</w:t>
      </w:r>
      <w:r w:rsidRPr="00106D3A">
        <w:rPr>
          <w:rFonts w:hint="cs"/>
          <w:sz w:val="24"/>
          <w:rtl/>
        </w:rPr>
        <w:t xml:space="preserve">. </w:t>
      </w:r>
      <w:r w:rsidR="001C275F" w:rsidRPr="00106D3A">
        <w:rPr>
          <w:rFonts w:hint="cs"/>
          <w:sz w:val="24"/>
          <w:rtl/>
        </w:rPr>
        <w:t xml:space="preserve">אך מה באשר לתקיפה חוקתית ישירה בערכאות הדיון? </w:t>
      </w:r>
      <w:r w:rsidR="006F727E" w:rsidRPr="00106D3A">
        <w:rPr>
          <w:rFonts w:hint="cs"/>
          <w:sz w:val="24"/>
          <w:rtl/>
        </w:rPr>
        <w:t xml:space="preserve">האם ניתן לדמיין הליך שאינו עתירה לבג"ץ, </w:t>
      </w:r>
      <w:r w:rsidR="008A2A5D">
        <w:rPr>
          <w:rFonts w:hint="cs"/>
          <w:sz w:val="24"/>
          <w:rtl/>
        </w:rPr>
        <w:t>א</w:t>
      </w:r>
      <w:r w:rsidR="006F727E" w:rsidRPr="00106D3A">
        <w:rPr>
          <w:rFonts w:hint="cs"/>
          <w:sz w:val="24"/>
          <w:rtl/>
        </w:rPr>
        <w:t>ש</w:t>
      </w:r>
      <w:r w:rsidR="008A2A5D">
        <w:rPr>
          <w:rFonts w:hint="cs"/>
          <w:sz w:val="24"/>
          <w:rtl/>
        </w:rPr>
        <w:t xml:space="preserve">ר </w:t>
      </w:r>
      <w:r w:rsidR="006F727E" w:rsidRPr="00106D3A">
        <w:rPr>
          <w:rFonts w:hint="cs"/>
          <w:sz w:val="24"/>
          <w:rtl/>
        </w:rPr>
        <w:t xml:space="preserve">הסעד המבוקש בו הוא קביעה בדבר בטלות חקיקה ראשית? </w:t>
      </w:r>
      <w:r w:rsidR="00B17342" w:rsidRPr="00106D3A">
        <w:rPr>
          <w:rFonts w:hint="cs"/>
          <w:sz w:val="24"/>
          <w:rtl/>
        </w:rPr>
        <w:t xml:space="preserve">נדמה </w:t>
      </w:r>
      <w:r w:rsidR="006F727E" w:rsidRPr="00106D3A">
        <w:rPr>
          <w:rFonts w:hint="cs"/>
          <w:sz w:val="24"/>
          <w:rtl/>
        </w:rPr>
        <w:t xml:space="preserve">שאין מניעה </w:t>
      </w:r>
      <w:r w:rsidR="00B42BA7" w:rsidRPr="00106D3A">
        <w:rPr>
          <w:rFonts w:hint="cs"/>
          <w:sz w:val="24"/>
          <w:rtl/>
        </w:rPr>
        <w:t xml:space="preserve">עקרונית </w:t>
      </w:r>
      <w:r w:rsidR="006F727E" w:rsidRPr="00106D3A">
        <w:rPr>
          <w:rFonts w:hint="cs"/>
          <w:sz w:val="24"/>
          <w:rtl/>
        </w:rPr>
        <w:t>לכך. רא</w:t>
      </w:r>
      <w:r w:rsidR="00BD0F52" w:rsidRPr="00106D3A">
        <w:rPr>
          <w:rFonts w:hint="cs"/>
          <w:sz w:val="24"/>
          <w:rtl/>
        </w:rPr>
        <w:t>שית, הסמכתם של בתי המשפט המחוזיים</w:t>
      </w:r>
      <w:r w:rsidR="006F727E" w:rsidRPr="00106D3A">
        <w:rPr>
          <w:rFonts w:hint="cs"/>
          <w:sz w:val="24"/>
          <w:rtl/>
        </w:rPr>
        <w:t xml:space="preserve"> לדון בעתירות מנהליות (וההצעה הקיימת להרחיב הסמכה זו גם לבתי משפט השלום)</w:t>
      </w:r>
      <w:r w:rsidR="00BD0F52" w:rsidRPr="00106D3A">
        <w:rPr>
          <w:rStyle w:val="FootnoteReference"/>
          <w:sz w:val="24"/>
          <w:rtl/>
        </w:rPr>
        <w:footnoteReference w:id="138"/>
      </w:r>
      <w:r w:rsidR="006F727E" w:rsidRPr="00106D3A">
        <w:rPr>
          <w:rFonts w:hint="cs"/>
          <w:sz w:val="24"/>
          <w:rtl/>
        </w:rPr>
        <w:t xml:space="preserve"> מלמדת שהמערכת </w:t>
      </w:r>
      <w:r w:rsidR="008967FE" w:rsidRPr="00106D3A">
        <w:rPr>
          <w:rFonts w:hint="cs"/>
          <w:sz w:val="24"/>
          <w:rtl/>
        </w:rPr>
        <w:t>מכירה</w:t>
      </w:r>
      <w:r w:rsidR="006F727E" w:rsidRPr="00106D3A">
        <w:rPr>
          <w:rFonts w:hint="cs"/>
          <w:sz w:val="24"/>
          <w:rtl/>
        </w:rPr>
        <w:t xml:space="preserve"> באופן עקרוני ביכולת ההתמודדות ש</w:t>
      </w:r>
      <w:r w:rsidR="00855249" w:rsidRPr="00106D3A">
        <w:rPr>
          <w:rFonts w:hint="cs"/>
          <w:sz w:val="24"/>
          <w:rtl/>
        </w:rPr>
        <w:t>ל ערכאות דיון עם תקיפות ישירות של פעולות מנהליות, גם אם מדרג</w:t>
      </w:r>
      <w:r w:rsidR="00075014" w:rsidRPr="00106D3A">
        <w:rPr>
          <w:rFonts w:hint="cs"/>
          <w:sz w:val="24"/>
          <w:rtl/>
        </w:rPr>
        <w:t xml:space="preserve">ה נורמטיבית נמוכה </w:t>
      </w:r>
      <w:r w:rsidR="00855249" w:rsidRPr="00106D3A">
        <w:rPr>
          <w:rFonts w:hint="cs"/>
          <w:sz w:val="24"/>
          <w:rtl/>
        </w:rPr>
        <w:t>יחסית.</w:t>
      </w:r>
      <w:r w:rsidR="00075014" w:rsidRPr="00106D3A">
        <w:rPr>
          <w:rStyle w:val="FootnoteReference"/>
          <w:sz w:val="24"/>
          <w:rtl/>
        </w:rPr>
        <w:footnoteReference w:id="139"/>
      </w:r>
      <w:r w:rsidR="00855249" w:rsidRPr="00106D3A">
        <w:rPr>
          <w:rFonts w:hint="cs"/>
          <w:sz w:val="24"/>
          <w:rtl/>
        </w:rPr>
        <w:t xml:space="preserve"> </w:t>
      </w:r>
      <w:r w:rsidR="008967FE" w:rsidRPr="00106D3A">
        <w:rPr>
          <w:rFonts w:hint="cs"/>
          <w:sz w:val="24"/>
          <w:rtl/>
        </w:rPr>
        <w:t xml:space="preserve">עם זאת, בהתחשב בהגדרות הסמכות </w:t>
      </w:r>
      <w:r w:rsidR="008063C6" w:rsidRPr="00106D3A">
        <w:rPr>
          <w:rFonts w:hint="cs"/>
          <w:sz w:val="24"/>
          <w:rtl/>
        </w:rPr>
        <w:t xml:space="preserve">הסטטוטוריות </w:t>
      </w:r>
      <w:r w:rsidR="008967FE" w:rsidRPr="00106D3A">
        <w:rPr>
          <w:rFonts w:hint="cs"/>
          <w:sz w:val="24"/>
          <w:rtl/>
        </w:rPr>
        <w:t xml:space="preserve">שלהם ניכר שבתי המשפט לעניינים מנהליים לא יוכלו לשמוע עתירות חוקתיות. החלופה המעשית יותר, הזמינה מבחינה דיונית, היא הגשת המרצת פתיחה </w:t>
      </w:r>
      <w:r w:rsidR="008A2A5D">
        <w:rPr>
          <w:rFonts w:hint="cs"/>
          <w:sz w:val="24"/>
          <w:rtl/>
        </w:rPr>
        <w:t xml:space="preserve">נגד המדינה </w:t>
      </w:r>
      <w:r w:rsidR="00E553C0" w:rsidRPr="00106D3A">
        <w:rPr>
          <w:rFonts w:hint="cs"/>
          <w:sz w:val="24"/>
          <w:rtl/>
        </w:rPr>
        <w:t>בבקשה לסעד הצהרתי שעניינו בטלות החוק.</w:t>
      </w:r>
      <w:r w:rsidR="00FD7809" w:rsidRPr="00106D3A">
        <w:rPr>
          <w:rStyle w:val="FootnoteReference"/>
          <w:sz w:val="24"/>
          <w:rtl/>
        </w:rPr>
        <w:footnoteReference w:id="140"/>
      </w:r>
      <w:r w:rsidR="0094208A" w:rsidRPr="00106D3A">
        <w:rPr>
          <w:rFonts w:hint="cs"/>
          <w:sz w:val="24"/>
          <w:rtl/>
        </w:rPr>
        <w:t xml:space="preserve"> הליך מוצלח כזה יכול להוביל לתביעה אזרחית </w:t>
      </w:r>
      <w:r w:rsidR="003E20D6" w:rsidRPr="00106D3A">
        <w:rPr>
          <w:rFonts w:hint="cs"/>
          <w:sz w:val="24"/>
          <w:rtl/>
        </w:rPr>
        <w:t xml:space="preserve">עוקבת </w:t>
      </w:r>
      <w:r w:rsidR="0094208A" w:rsidRPr="00106D3A">
        <w:rPr>
          <w:rFonts w:hint="cs"/>
          <w:sz w:val="24"/>
          <w:rtl/>
        </w:rPr>
        <w:t>ל</w:t>
      </w:r>
      <w:r w:rsidR="001430FF" w:rsidRPr="00106D3A">
        <w:rPr>
          <w:rFonts w:hint="cs"/>
          <w:sz w:val="24"/>
          <w:rtl/>
        </w:rPr>
        <w:t xml:space="preserve">מתן </w:t>
      </w:r>
      <w:r w:rsidR="0094208A" w:rsidRPr="00106D3A">
        <w:rPr>
          <w:rFonts w:hint="cs"/>
          <w:sz w:val="24"/>
          <w:rtl/>
        </w:rPr>
        <w:t xml:space="preserve">צו מניעה שיורה למדינה </w:t>
      </w:r>
      <w:r w:rsidR="0094208A" w:rsidRPr="00106D3A">
        <w:rPr>
          <w:sz w:val="24"/>
          <w:rtl/>
        </w:rPr>
        <w:t>–</w:t>
      </w:r>
      <w:r w:rsidR="0094208A" w:rsidRPr="00106D3A">
        <w:rPr>
          <w:rFonts w:hint="cs"/>
          <w:sz w:val="24"/>
          <w:rtl/>
        </w:rPr>
        <w:t xml:space="preserve"> שבהליכים אזרחיים היא ככל בעל דין</w:t>
      </w:r>
      <w:r w:rsidR="0083787D" w:rsidRPr="00106D3A">
        <w:rPr>
          <w:rStyle w:val="FootnoteReference"/>
          <w:sz w:val="24"/>
          <w:rtl/>
        </w:rPr>
        <w:footnoteReference w:id="141"/>
      </w:r>
      <w:r w:rsidR="0094208A" w:rsidRPr="00106D3A">
        <w:rPr>
          <w:rFonts w:hint="cs"/>
          <w:sz w:val="24"/>
          <w:rtl/>
        </w:rPr>
        <w:t xml:space="preserve"> </w:t>
      </w:r>
      <w:r w:rsidR="0094208A" w:rsidRPr="00106D3A">
        <w:rPr>
          <w:sz w:val="24"/>
          <w:rtl/>
        </w:rPr>
        <w:t>–</w:t>
      </w:r>
      <w:r w:rsidR="0094208A" w:rsidRPr="00106D3A">
        <w:rPr>
          <w:rFonts w:hint="cs"/>
          <w:sz w:val="24"/>
          <w:rtl/>
        </w:rPr>
        <w:t xml:space="preserve"> להימנע מאכיפת החוק הפסול.</w:t>
      </w:r>
      <w:r w:rsidR="00D40652" w:rsidRPr="00106D3A">
        <w:rPr>
          <w:rStyle w:val="FootnoteReference"/>
          <w:sz w:val="24"/>
          <w:rtl/>
        </w:rPr>
        <w:footnoteReference w:id="142"/>
      </w:r>
      <w:r w:rsidR="0094208A" w:rsidRPr="00106D3A">
        <w:rPr>
          <w:rFonts w:hint="cs"/>
          <w:sz w:val="24"/>
          <w:rtl/>
        </w:rPr>
        <w:t xml:space="preserve"> </w:t>
      </w:r>
    </w:p>
    <w:p w:rsidR="0076183D" w:rsidRPr="00106D3A" w:rsidRDefault="00321303" w:rsidP="00DF687D">
      <w:pPr>
        <w:ind w:firstLine="720"/>
        <w:jc w:val="both"/>
        <w:rPr>
          <w:sz w:val="24"/>
          <w:rtl/>
        </w:rPr>
      </w:pPr>
      <w:r w:rsidRPr="00106D3A">
        <w:rPr>
          <w:rFonts w:hint="cs"/>
          <w:sz w:val="24"/>
          <w:rtl/>
        </w:rPr>
        <w:t xml:space="preserve">כל </w:t>
      </w:r>
      <w:r w:rsidR="000B1088" w:rsidRPr="00106D3A">
        <w:rPr>
          <w:rFonts w:hint="cs"/>
          <w:sz w:val="24"/>
          <w:rtl/>
        </w:rPr>
        <w:t xml:space="preserve">בית </w:t>
      </w:r>
      <w:r w:rsidRPr="00106D3A">
        <w:rPr>
          <w:rFonts w:hint="cs"/>
          <w:sz w:val="24"/>
          <w:rtl/>
        </w:rPr>
        <w:t xml:space="preserve">משפט </w:t>
      </w:r>
      <w:r w:rsidR="000B1088" w:rsidRPr="00106D3A">
        <w:rPr>
          <w:rFonts w:hint="cs"/>
          <w:sz w:val="24"/>
          <w:rtl/>
        </w:rPr>
        <w:t>אשר דן בעניין אזרחי מוסמך לתת פסק דין הצהרתי</w:t>
      </w:r>
      <w:r w:rsidR="00E60590" w:rsidRPr="00106D3A">
        <w:rPr>
          <w:rFonts w:hint="cs"/>
          <w:sz w:val="24"/>
          <w:rtl/>
        </w:rPr>
        <w:t xml:space="preserve"> כמו גם צו לא-תעשה</w:t>
      </w:r>
      <w:r w:rsidR="00694C5C" w:rsidRPr="00106D3A">
        <w:rPr>
          <w:rFonts w:hint="cs"/>
          <w:sz w:val="24"/>
          <w:rtl/>
        </w:rPr>
        <w:t>;</w:t>
      </w:r>
      <w:r w:rsidR="00694C5C" w:rsidRPr="00106D3A">
        <w:rPr>
          <w:rStyle w:val="FootnoteReference"/>
          <w:sz w:val="24"/>
          <w:rtl/>
        </w:rPr>
        <w:footnoteReference w:id="143"/>
      </w:r>
      <w:r w:rsidR="00694C5C" w:rsidRPr="00106D3A">
        <w:rPr>
          <w:rFonts w:hint="cs"/>
          <w:sz w:val="24"/>
          <w:rtl/>
        </w:rPr>
        <w:t xml:space="preserve"> </w:t>
      </w:r>
      <w:r w:rsidR="0076183D" w:rsidRPr="00106D3A">
        <w:rPr>
          <w:rFonts w:hint="cs"/>
          <w:sz w:val="24"/>
          <w:rtl/>
        </w:rPr>
        <w:t>וקשה לראות מדוע עמדתו של בית המשפט העליון כי סמכות הביקורת השיפוטית של בג"ץ אינה שוללת את סמכות ערכאות הדיון בתקיפה עקיפה</w:t>
      </w:r>
      <w:r w:rsidR="00FD35F4" w:rsidRPr="00106D3A">
        <w:rPr>
          <w:rFonts w:hint="cs"/>
          <w:sz w:val="24"/>
          <w:rtl/>
        </w:rPr>
        <w:t xml:space="preserve"> יזומה</w:t>
      </w:r>
      <w:r w:rsidR="0076183D" w:rsidRPr="00106D3A">
        <w:rPr>
          <w:rFonts w:hint="cs"/>
          <w:sz w:val="24"/>
          <w:rtl/>
        </w:rPr>
        <w:t xml:space="preserve">, לא תחול גם בתקיפה ישירה. </w:t>
      </w:r>
      <w:r w:rsidR="00727BC7" w:rsidRPr="00106D3A">
        <w:rPr>
          <w:rFonts w:hint="cs"/>
          <w:sz w:val="24"/>
          <w:rtl/>
        </w:rPr>
        <w:lastRenderedPageBreak/>
        <w:t xml:space="preserve">אמת, לאור דיני הסמכות העניינית, תקיפה ישירה כזו תתאפשר בדרך כלל </w:t>
      </w:r>
      <w:r w:rsidR="00DF687D" w:rsidRPr="00106D3A">
        <w:rPr>
          <w:rFonts w:hint="cs"/>
          <w:sz w:val="24"/>
          <w:rtl/>
        </w:rPr>
        <w:t>רק ב</w:t>
      </w:r>
      <w:r w:rsidR="00281DE2" w:rsidRPr="00106D3A">
        <w:rPr>
          <w:rFonts w:hint="cs"/>
          <w:sz w:val="24"/>
          <w:rtl/>
        </w:rPr>
        <w:t>בית המשפט המחוזי, מ</w:t>
      </w:r>
      <w:r w:rsidR="009D4698" w:rsidRPr="00106D3A">
        <w:rPr>
          <w:rFonts w:hint="cs"/>
          <w:sz w:val="24"/>
          <w:rtl/>
        </w:rPr>
        <w:t xml:space="preserve">פני </w:t>
      </w:r>
      <w:r w:rsidR="00281DE2" w:rsidRPr="00106D3A">
        <w:rPr>
          <w:rFonts w:hint="cs"/>
          <w:sz w:val="24"/>
          <w:rtl/>
        </w:rPr>
        <w:t>ש</w:t>
      </w:r>
      <w:r w:rsidR="009D4698" w:rsidRPr="00106D3A">
        <w:rPr>
          <w:rFonts w:hint="cs"/>
          <w:sz w:val="24"/>
          <w:rtl/>
        </w:rPr>
        <w:t>באופן טיפוסי יהיה מדובר</w:t>
      </w:r>
      <w:r w:rsidR="00DF687D" w:rsidRPr="00106D3A">
        <w:rPr>
          <w:rFonts w:hint="cs"/>
          <w:sz w:val="24"/>
          <w:rtl/>
        </w:rPr>
        <w:t xml:space="preserve"> בסעדים</w:t>
      </w:r>
      <w:r w:rsidR="009D4698" w:rsidRPr="00106D3A">
        <w:rPr>
          <w:rFonts w:hint="cs"/>
          <w:sz w:val="24"/>
          <w:rtl/>
        </w:rPr>
        <w:t xml:space="preserve"> שלא ניתן לשום את שווי</w:t>
      </w:r>
      <w:r w:rsidR="00DF687D" w:rsidRPr="00106D3A">
        <w:rPr>
          <w:rFonts w:hint="cs"/>
          <w:sz w:val="24"/>
          <w:rtl/>
        </w:rPr>
        <w:t>ים</w:t>
      </w:r>
      <w:r w:rsidR="009D4698" w:rsidRPr="00106D3A">
        <w:rPr>
          <w:rFonts w:hint="cs"/>
          <w:sz w:val="24"/>
          <w:rtl/>
        </w:rPr>
        <w:t>.</w:t>
      </w:r>
      <w:bookmarkStart w:id="50" w:name="_Ref373312255"/>
      <w:r w:rsidR="00443135" w:rsidRPr="00106D3A">
        <w:rPr>
          <w:rStyle w:val="FootnoteReference"/>
          <w:sz w:val="24"/>
          <w:rtl/>
        </w:rPr>
        <w:footnoteReference w:id="144"/>
      </w:r>
      <w:bookmarkEnd w:id="50"/>
      <w:r w:rsidR="009D4698" w:rsidRPr="00106D3A">
        <w:rPr>
          <w:rFonts w:hint="cs"/>
          <w:sz w:val="24"/>
          <w:rtl/>
        </w:rPr>
        <w:t xml:space="preserve"> </w:t>
      </w:r>
      <w:r w:rsidR="00807FCE" w:rsidRPr="00106D3A">
        <w:rPr>
          <w:rFonts w:hint="cs"/>
          <w:sz w:val="24"/>
          <w:rtl/>
        </w:rPr>
        <w:t xml:space="preserve">אם הדבר כך, הרי שבכל הנוגע לתקיפות ישירות </w:t>
      </w:r>
      <w:r w:rsidR="00350CDF" w:rsidRPr="00106D3A">
        <w:rPr>
          <w:rFonts w:hint="cs"/>
          <w:sz w:val="24"/>
          <w:rtl/>
        </w:rPr>
        <w:t xml:space="preserve">הפוטנציאל הדמוקרטי של הביקורת השיפוטית </w:t>
      </w:r>
      <w:proofErr w:type="spellStart"/>
      <w:r w:rsidR="00350CDF" w:rsidRPr="00106D3A">
        <w:rPr>
          <w:rFonts w:hint="cs"/>
          <w:sz w:val="24"/>
          <w:rtl/>
        </w:rPr>
        <w:t>הביזורית</w:t>
      </w:r>
      <w:proofErr w:type="spellEnd"/>
      <w:r w:rsidR="00350CDF" w:rsidRPr="00106D3A">
        <w:rPr>
          <w:rFonts w:hint="cs"/>
          <w:sz w:val="24"/>
          <w:rtl/>
        </w:rPr>
        <w:t xml:space="preserve"> הוא </w:t>
      </w:r>
      <w:r w:rsidR="00807FCE" w:rsidRPr="00106D3A">
        <w:rPr>
          <w:rFonts w:hint="cs"/>
          <w:sz w:val="24"/>
          <w:rtl/>
        </w:rPr>
        <w:t xml:space="preserve">מוגבל, כי אלה אפשריות רק בששת בתי המשפט המחוזיים. </w:t>
      </w:r>
    </w:p>
    <w:p w:rsidR="00B81324" w:rsidRPr="00106D3A" w:rsidRDefault="00335F0F" w:rsidP="003776EF">
      <w:pPr>
        <w:ind w:firstLine="720"/>
        <w:jc w:val="both"/>
        <w:rPr>
          <w:sz w:val="24"/>
          <w:rtl/>
        </w:rPr>
      </w:pPr>
      <w:r w:rsidRPr="00106D3A">
        <w:rPr>
          <w:rFonts w:hint="cs"/>
          <w:sz w:val="24"/>
          <w:rtl/>
        </w:rPr>
        <w:t xml:space="preserve">המייחד את התקיפה הישירה במסלול הביזורי </w:t>
      </w:r>
      <w:r w:rsidR="007A2AD4" w:rsidRPr="00106D3A">
        <w:rPr>
          <w:rFonts w:hint="cs"/>
          <w:sz w:val="24"/>
          <w:rtl/>
        </w:rPr>
        <w:t xml:space="preserve">הוא שהסעד שניתן בה מופנה </w:t>
      </w:r>
      <w:r w:rsidR="00D74028" w:rsidRPr="00106D3A">
        <w:rPr>
          <w:rFonts w:hint="cs"/>
          <w:sz w:val="24"/>
          <w:rtl/>
        </w:rPr>
        <w:t xml:space="preserve">לכאורה </w:t>
      </w:r>
      <w:r w:rsidR="007A2AD4" w:rsidRPr="00106D3A">
        <w:rPr>
          <w:rFonts w:hint="cs"/>
          <w:sz w:val="24"/>
          <w:rtl/>
        </w:rPr>
        <w:t xml:space="preserve">כלפי </w:t>
      </w:r>
      <w:r w:rsidR="00CF1FEC" w:rsidRPr="00106D3A">
        <w:rPr>
          <w:rFonts w:hint="cs"/>
          <w:sz w:val="24"/>
          <w:rtl/>
        </w:rPr>
        <w:t xml:space="preserve">המדינה או הרשות </w:t>
      </w:r>
      <w:r w:rsidR="00AD4188" w:rsidRPr="00106D3A">
        <w:rPr>
          <w:rFonts w:hint="cs"/>
          <w:sz w:val="24"/>
          <w:rtl/>
        </w:rPr>
        <w:t xml:space="preserve">המנהלית </w:t>
      </w:r>
      <w:r w:rsidR="007A2AD4" w:rsidRPr="00106D3A">
        <w:rPr>
          <w:rFonts w:hint="cs"/>
          <w:sz w:val="24"/>
          <w:rtl/>
        </w:rPr>
        <w:t>באופן כללי, ולא נועד לזכות בעל דין מסוים דווקא.</w:t>
      </w:r>
      <w:r w:rsidR="00C864D0" w:rsidRPr="00106D3A">
        <w:rPr>
          <w:rFonts w:hint="cs"/>
          <w:sz w:val="24"/>
          <w:rtl/>
        </w:rPr>
        <w:t xml:space="preserve"> כאן מודל התחולה על הצדדים בלבד עשוי להתערער</w:t>
      </w:r>
      <w:r w:rsidR="00EC5F21" w:rsidRPr="00106D3A">
        <w:rPr>
          <w:rFonts w:hint="cs"/>
          <w:sz w:val="24"/>
          <w:rtl/>
        </w:rPr>
        <w:t xml:space="preserve">. </w:t>
      </w:r>
      <w:r w:rsidR="00F212F0" w:rsidRPr="00106D3A">
        <w:rPr>
          <w:rFonts w:hint="cs"/>
          <w:sz w:val="24"/>
          <w:rtl/>
        </w:rPr>
        <w:t xml:space="preserve">אמנם מבחינת דיני התקדים, ההחלטה לא תחייב ערכאות אחרות (כל עוד לא אושרה כמובן בערעור בבית המשפט העליון). </w:t>
      </w:r>
      <w:r w:rsidR="00FD4102" w:rsidRPr="00106D3A">
        <w:rPr>
          <w:rFonts w:hint="cs"/>
          <w:sz w:val="24"/>
          <w:rtl/>
        </w:rPr>
        <w:t>אך מבחינת</w:t>
      </w:r>
      <w:r w:rsidR="00BF592D" w:rsidRPr="00106D3A">
        <w:rPr>
          <w:rFonts w:hint="cs"/>
          <w:sz w:val="24"/>
          <w:rtl/>
        </w:rPr>
        <w:t>ה של הרשות</w:t>
      </w:r>
      <w:r w:rsidR="00066CBB" w:rsidRPr="00106D3A">
        <w:rPr>
          <w:rFonts w:hint="cs"/>
          <w:sz w:val="24"/>
          <w:rtl/>
        </w:rPr>
        <w:t xml:space="preserve"> </w:t>
      </w:r>
      <w:r w:rsidR="00066CBB" w:rsidRPr="00106D3A">
        <w:rPr>
          <w:sz w:val="24"/>
          <w:rtl/>
        </w:rPr>
        <w:t>–</w:t>
      </w:r>
      <w:r w:rsidR="00BF592D" w:rsidRPr="00106D3A">
        <w:rPr>
          <w:rFonts w:hint="cs"/>
          <w:sz w:val="24"/>
          <w:rtl/>
        </w:rPr>
        <w:t xml:space="preserve"> היא ניצבת בפני </w:t>
      </w:r>
      <w:r w:rsidR="00B81324" w:rsidRPr="00106D3A">
        <w:rPr>
          <w:rFonts w:hint="cs"/>
          <w:sz w:val="24"/>
          <w:rtl/>
        </w:rPr>
        <w:t>צו בעל תחולה כללית המורה לה להימנע מפעולה מסוימת. התייחסתי לעיל להיבטי המשפט המנהלי שהביקורת השיפוטית הביזורית עשויה לעורר, ולאפשרות שבכל מקרה המדינה נדרשת לקבוע מדיניות אחידה בעקבות החלטה חוקתית של ערכאת דיון, גם בתקיפה עקיפה.</w:t>
      </w:r>
      <w:r w:rsidR="00802F94" w:rsidRPr="00106D3A">
        <w:rPr>
          <w:rStyle w:val="FootnoteReference"/>
          <w:sz w:val="24"/>
          <w:rtl/>
        </w:rPr>
        <w:footnoteReference w:id="145"/>
      </w:r>
      <w:r w:rsidR="00B81324" w:rsidRPr="00106D3A">
        <w:rPr>
          <w:rFonts w:hint="cs"/>
          <w:sz w:val="24"/>
          <w:rtl/>
        </w:rPr>
        <w:t xml:space="preserve"> </w:t>
      </w:r>
      <w:r w:rsidR="00FB1281" w:rsidRPr="00106D3A">
        <w:rPr>
          <w:rFonts w:hint="cs"/>
          <w:sz w:val="24"/>
          <w:rtl/>
        </w:rPr>
        <w:t xml:space="preserve">בתקיפה ישירה האתגר של הרשות גדול יותר. כמובן ביכולתה לערער </w:t>
      </w:r>
      <w:r w:rsidR="00FB1281" w:rsidRPr="00106D3A">
        <w:rPr>
          <w:sz w:val="24"/>
          <w:rtl/>
        </w:rPr>
        <w:t>–</w:t>
      </w:r>
      <w:r w:rsidR="00CD431C" w:rsidRPr="00106D3A">
        <w:rPr>
          <w:rFonts w:hint="cs"/>
          <w:sz w:val="24"/>
          <w:rtl/>
        </w:rPr>
        <w:t xml:space="preserve"> והיא מן הסתם תעשה זאת.</w:t>
      </w:r>
      <w:r w:rsidR="00193676" w:rsidRPr="00106D3A">
        <w:rPr>
          <w:rFonts w:hint="cs"/>
          <w:sz w:val="24"/>
          <w:rtl/>
        </w:rPr>
        <w:t xml:space="preserve"> אך האם יותר לה להמשיך להחזיק בעמדתה במקרים אחרים למרות הצו הישיר, עד להכרעה בערעור? </w:t>
      </w:r>
      <w:r w:rsidR="00E310B4" w:rsidRPr="00106D3A">
        <w:rPr>
          <w:rFonts w:hint="cs"/>
          <w:sz w:val="24"/>
          <w:rtl/>
        </w:rPr>
        <w:t xml:space="preserve">גם אם מבחינה משפטית נראה שהתשובה היא שלילית, הרי מבחינת הגישה הדמוקרטית להליך החוקתי יש ערך </w:t>
      </w:r>
      <w:r w:rsidR="00A15568" w:rsidRPr="00106D3A">
        <w:rPr>
          <w:rFonts w:hint="cs"/>
          <w:sz w:val="24"/>
          <w:rtl/>
        </w:rPr>
        <w:t xml:space="preserve">בשימור האפשרות </w:t>
      </w:r>
      <w:r w:rsidR="00EB4371" w:rsidRPr="00106D3A">
        <w:rPr>
          <w:rFonts w:hint="cs"/>
          <w:sz w:val="24"/>
          <w:rtl/>
        </w:rPr>
        <w:t>להתדיינויות</w:t>
      </w:r>
      <w:r w:rsidR="00A15568" w:rsidRPr="00106D3A">
        <w:rPr>
          <w:rFonts w:hint="cs"/>
          <w:sz w:val="24"/>
          <w:rtl/>
        </w:rPr>
        <w:t xml:space="preserve"> חוזרות על אותה שאלה חוקתית</w:t>
      </w:r>
      <w:r w:rsidR="00EB4371" w:rsidRPr="00106D3A">
        <w:rPr>
          <w:rFonts w:hint="cs"/>
          <w:sz w:val="24"/>
          <w:rtl/>
        </w:rPr>
        <w:t xml:space="preserve"> טרם ההכרעה בערעור. מכאן, ש</w:t>
      </w:r>
      <w:r w:rsidR="00A15568" w:rsidRPr="00106D3A">
        <w:rPr>
          <w:rFonts w:hint="cs"/>
          <w:sz w:val="24"/>
          <w:rtl/>
        </w:rPr>
        <w:t>עדיף שהכרעה בודדת של בית משפט מחוזי בתקיפה ישירה לא תסיים מניה וביה א</w:t>
      </w:r>
      <w:r w:rsidR="00EB4371" w:rsidRPr="00106D3A">
        <w:rPr>
          <w:rFonts w:hint="cs"/>
          <w:sz w:val="24"/>
          <w:rtl/>
        </w:rPr>
        <w:t>ת תפקידן של ערכאות הדיון בפ</w:t>
      </w:r>
      <w:r w:rsidR="008947D6" w:rsidRPr="00106D3A">
        <w:rPr>
          <w:rFonts w:hint="cs"/>
          <w:sz w:val="24"/>
          <w:rtl/>
        </w:rPr>
        <w:t>רשה, ו</w:t>
      </w:r>
      <w:r w:rsidR="00033D38" w:rsidRPr="00106D3A">
        <w:rPr>
          <w:rFonts w:hint="cs"/>
          <w:sz w:val="24"/>
          <w:rtl/>
        </w:rPr>
        <w:t xml:space="preserve">רצוי </w:t>
      </w:r>
      <w:r w:rsidR="008947D6" w:rsidRPr="00106D3A">
        <w:rPr>
          <w:rFonts w:hint="cs"/>
          <w:sz w:val="24"/>
          <w:rtl/>
        </w:rPr>
        <w:t>שתחולתה תישמר לצדדים בלבד. התועלת הנותרת ממסלול התקיפה הישירה היא ב</w:t>
      </w:r>
      <w:r w:rsidR="002D3F97" w:rsidRPr="00106D3A">
        <w:rPr>
          <w:rFonts w:hint="cs"/>
          <w:sz w:val="24"/>
          <w:rtl/>
        </w:rPr>
        <w:t xml:space="preserve">כך שהיא מאפשרת </w:t>
      </w:r>
      <w:r w:rsidR="008947D6" w:rsidRPr="00106D3A">
        <w:rPr>
          <w:rFonts w:hint="cs"/>
          <w:sz w:val="24"/>
          <w:rtl/>
        </w:rPr>
        <w:t xml:space="preserve">גם לטענות חוקתיות ולטוענים חוקתיים שאינם </w:t>
      </w:r>
      <w:r w:rsidR="002D3F97" w:rsidRPr="00106D3A">
        <w:rPr>
          <w:rFonts w:hint="cs"/>
          <w:sz w:val="24"/>
          <w:rtl/>
        </w:rPr>
        <w:t xml:space="preserve">יכולים להגיע לערכאה דיונית </w:t>
      </w:r>
      <w:r w:rsidR="003776EF" w:rsidRPr="00106D3A">
        <w:rPr>
          <w:rFonts w:hint="cs"/>
          <w:sz w:val="24"/>
          <w:rtl/>
        </w:rPr>
        <w:t>באמצעות אחד המסלולים העקיפים</w:t>
      </w:r>
      <w:r w:rsidR="002D3F97" w:rsidRPr="00106D3A">
        <w:rPr>
          <w:rFonts w:hint="cs"/>
          <w:sz w:val="24"/>
          <w:rtl/>
        </w:rPr>
        <w:t>, להידון בפניה</w:t>
      </w:r>
      <w:r w:rsidR="008947D6" w:rsidRPr="00106D3A">
        <w:rPr>
          <w:rFonts w:hint="cs"/>
          <w:sz w:val="24"/>
          <w:rtl/>
        </w:rPr>
        <w:t xml:space="preserve">. </w:t>
      </w:r>
      <w:r w:rsidR="0017061C" w:rsidRPr="00106D3A">
        <w:rPr>
          <w:rFonts w:hint="cs"/>
          <w:sz w:val="24"/>
          <w:rtl/>
        </w:rPr>
        <w:t xml:space="preserve">הכרה באפשרות התקיפה הישירה בערכאות הדיון תבטיח שכל סוגי הטענות החוקתיות </w:t>
      </w:r>
      <w:r w:rsidR="0017061C" w:rsidRPr="00106D3A">
        <w:rPr>
          <w:sz w:val="24"/>
          <w:rtl/>
        </w:rPr>
        <w:t>–</w:t>
      </w:r>
      <w:r w:rsidR="0017061C" w:rsidRPr="00106D3A">
        <w:rPr>
          <w:rFonts w:hint="cs"/>
          <w:sz w:val="24"/>
          <w:rtl/>
        </w:rPr>
        <w:t xml:space="preserve"> גם אלה שלא יכולות למצוא ביטוין בתקיפה עקיפה </w:t>
      </w:r>
      <w:r w:rsidR="0017061C" w:rsidRPr="00106D3A">
        <w:rPr>
          <w:sz w:val="24"/>
          <w:rtl/>
        </w:rPr>
        <w:t>–</w:t>
      </w:r>
      <w:r w:rsidR="0017061C" w:rsidRPr="00106D3A">
        <w:rPr>
          <w:rFonts w:hint="cs"/>
          <w:sz w:val="24"/>
          <w:rtl/>
        </w:rPr>
        <w:t xml:space="preserve"> יוכלו לצעוד במסלול הביזורי. </w:t>
      </w:r>
    </w:p>
    <w:p w:rsidR="00BA183D" w:rsidRPr="00106D3A" w:rsidRDefault="00BA183D" w:rsidP="00782F84">
      <w:pPr>
        <w:pStyle w:val="Heading2"/>
        <w:rPr>
          <w:rtl/>
        </w:rPr>
      </w:pPr>
      <w:bookmarkStart w:id="51" w:name="_Toc372223070"/>
      <w:r w:rsidRPr="00106D3A">
        <w:rPr>
          <w:rFonts w:hint="cs"/>
          <w:rtl/>
        </w:rPr>
        <w:t>העלאת הטענה החוקתית</w:t>
      </w:r>
      <w:bookmarkEnd w:id="51"/>
    </w:p>
    <w:p w:rsidR="00BA183D" w:rsidRPr="00106D3A" w:rsidRDefault="00A03CB7" w:rsidP="00576EF5">
      <w:pPr>
        <w:ind w:firstLine="720"/>
        <w:jc w:val="both"/>
        <w:rPr>
          <w:sz w:val="24"/>
          <w:rtl/>
        </w:rPr>
      </w:pPr>
      <w:r w:rsidRPr="00106D3A">
        <w:rPr>
          <w:rFonts w:hint="cs"/>
          <w:sz w:val="24"/>
          <w:rtl/>
        </w:rPr>
        <w:t xml:space="preserve">האם בית המשפט הדן בהליך פלילי או אזרחי </w:t>
      </w:r>
      <w:r w:rsidR="006424C1" w:rsidRPr="00106D3A">
        <w:rPr>
          <w:rFonts w:hint="cs"/>
          <w:sz w:val="24"/>
          <w:rtl/>
        </w:rPr>
        <w:t xml:space="preserve">רגיל </w:t>
      </w:r>
      <w:r w:rsidRPr="00106D3A">
        <w:rPr>
          <w:rFonts w:hint="cs"/>
          <w:sz w:val="24"/>
          <w:rtl/>
        </w:rPr>
        <w:t xml:space="preserve">רשאי לעורר מיוזמתו </w:t>
      </w:r>
      <w:r w:rsidR="001E19A5" w:rsidRPr="00106D3A">
        <w:rPr>
          <w:rFonts w:hint="cs"/>
          <w:sz w:val="24"/>
          <w:rtl/>
        </w:rPr>
        <w:t>(</w:t>
      </w:r>
      <w:proofErr w:type="spellStart"/>
      <w:r w:rsidR="001E19A5" w:rsidRPr="00106D3A">
        <w:rPr>
          <w:sz w:val="24"/>
        </w:rPr>
        <w:t>sua</w:t>
      </w:r>
      <w:proofErr w:type="spellEnd"/>
      <w:r w:rsidR="001E19A5" w:rsidRPr="00106D3A">
        <w:rPr>
          <w:sz w:val="24"/>
        </w:rPr>
        <w:t xml:space="preserve"> </w:t>
      </w:r>
      <w:proofErr w:type="spellStart"/>
      <w:r w:rsidR="001E19A5" w:rsidRPr="00106D3A">
        <w:rPr>
          <w:sz w:val="24"/>
        </w:rPr>
        <w:t>sponte</w:t>
      </w:r>
      <w:proofErr w:type="spellEnd"/>
      <w:r w:rsidR="001E19A5" w:rsidRPr="00106D3A">
        <w:rPr>
          <w:rFonts w:hint="cs"/>
          <w:sz w:val="24"/>
          <w:rtl/>
        </w:rPr>
        <w:t xml:space="preserve">) </w:t>
      </w:r>
      <w:r w:rsidR="00396731" w:rsidRPr="00106D3A">
        <w:rPr>
          <w:rFonts w:hint="cs"/>
          <w:sz w:val="24"/>
          <w:rtl/>
        </w:rPr>
        <w:t>שאלות של תוקף חוקתי</w:t>
      </w:r>
      <w:r w:rsidR="00EF7D36" w:rsidRPr="00106D3A">
        <w:rPr>
          <w:rFonts w:hint="cs"/>
          <w:sz w:val="24"/>
          <w:rtl/>
        </w:rPr>
        <w:t xml:space="preserve">, כלומר ליזום את הביקורת השיפוטית </w:t>
      </w:r>
      <w:r w:rsidR="00EF7D36" w:rsidRPr="00106D3A">
        <w:rPr>
          <w:sz w:val="24"/>
          <w:rtl/>
        </w:rPr>
        <w:t>–</w:t>
      </w:r>
      <w:r w:rsidR="00EF7D36" w:rsidRPr="00106D3A">
        <w:rPr>
          <w:rFonts w:hint="cs"/>
          <w:sz w:val="24"/>
          <w:rtl/>
        </w:rPr>
        <w:t xml:space="preserve"> אף אם איש מבעלי הדין לא עורר את הטענה? </w:t>
      </w:r>
      <w:r w:rsidR="00DB4B5E" w:rsidRPr="00106D3A">
        <w:rPr>
          <w:rFonts w:hint="cs"/>
          <w:sz w:val="24"/>
          <w:rtl/>
        </w:rPr>
        <w:t xml:space="preserve">כמובן, שאלה זו אינה </w:t>
      </w:r>
      <w:r w:rsidR="001955E4" w:rsidRPr="00106D3A">
        <w:rPr>
          <w:rFonts w:hint="cs"/>
          <w:sz w:val="24"/>
          <w:rtl/>
        </w:rPr>
        <w:t>נוגעת ל</w:t>
      </w:r>
      <w:r w:rsidR="00DB4B5E" w:rsidRPr="00106D3A">
        <w:rPr>
          <w:rFonts w:hint="cs"/>
          <w:sz w:val="24"/>
          <w:rtl/>
        </w:rPr>
        <w:t xml:space="preserve">מצבים של תקיפה ישירה, בהם העילה עצמה היא האי-חוקתיות הנטענת של החוק. </w:t>
      </w:r>
      <w:r w:rsidR="001F2C5A" w:rsidRPr="00106D3A">
        <w:rPr>
          <w:rFonts w:hint="cs"/>
          <w:sz w:val="24"/>
          <w:rtl/>
        </w:rPr>
        <w:t xml:space="preserve">אך </w:t>
      </w:r>
      <w:r w:rsidR="001955E4" w:rsidRPr="00106D3A">
        <w:rPr>
          <w:rFonts w:hint="cs"/>
          <w:sz w:val="24"/>
          <w:rtl/>
        </w:rPr>
        <w:t xml:space="preserve">כפי שראינו הביקורת השיפוטית הביזורית מתעוררת לרוב בתקיפה עקיפה, כך שייתכנו הליכים רבים בהם </w:t>
      </w:r>
      <w:r w:rsidR="001F2C5A" w:rsidRPr="00106D3A">
        <w:rPr>
          <w:rFonts w:hint="cs"/>
          <w:sz w:val="24"/>
          <w:rtl/>
        </w:rPr>
        <w:t>בעלי הדין</w:t>
      </w:r>
      <w:r w:rsidR="00E4290D" w:rsidRPr="00106D3A">
        <w:rPr>
          <w:rFonts w:hint="cs"/>
          <w:sz w:val="24"/>
          <w:rtl/>
        </w:rPr>
        <w:t xml:space="preserve"> יימנעו</w:t>
      </w:r>
      <w:r w:rsidR="001F2C5A" w:rsidRPr="00106D3A">
        <w:rPr>
          <w:rFonts w:hint="cs"/>
          <w:sz w:val="24"/>
          <w:rtl/>
        </w:rPr>
        <w:t xml:space="preserve"> </w:t>
      </w:r>
      <w:r w:rsidR="001F2C5A" w:rsidRPr="00106D3A">
        <w:rPr>
          <w:sz w:val="24"/>
          <w:rtl/>
        </w:rPr>
        <w:t>–</w:t>
      </w:r>
      <w:r w:rsidR="001F2C5A" w:rsidRPr="00106D3A">
        <w:rPr>
          <w:rFonts w:hint="cs"/>
          <w:sz w:val="24"/>
          <w:rtl/>
        </w:rPr>
        <w:t xml:space="preserve"> בין בהעדפה מכוונת ובין שלא במודע </w:t>
      </w:r>
      <w:r w:rsidR="001F2C5A" w:rsidRPr="00106D3A">
        <w:rPr>
          <w:sz w:val="24"/>
          <w:rtl/>
        </w:rPr>
        <w:t>–</w:t>
      </w:r>
      <w:r w:rsidR="00E4290D" w:rsidRPr="00106D3A">
        <w:rPr>
          <w:rFonts w:hint="cs"/>
          <w:sz w:val="24"/>
          <w:rtl/>
        </w:rPr>
        <w:t xml:space="preserve"> מ</w:t>
      </w:r>
      <w:r w:rsidR="001F2C5A" w:rsidRPr="00106D3A">
        <w:rPr>
          <w:rFonts w:hint="cs"/>
          <w:sz w:val="24"/>
          <w:rtl/>
        </w:rPr>
        <w:t xml:space="preserve">להטיל ספק בחוקתיות הנורמה העומדת בבסיס הליטיגציה. </w:t>
      </w:r>
      <w:r w:rsidR="00576EF5" w:rsidRPr="00106D3A">
        <w:rPr>
          <w:rFonts w:hint="cs"/>
          <w:sz w:val="24"/>
          <w:rtl/>
        </w:rPr>
        <w:t xml:space="preserve">מה תפקידו של בית המשפט עצמו במצבים אלה? </w:t>
      </w:r>
    </w:p>
    <w:p w:rsidR="00E4290D" w:rsidRPr="00106D3A" w:rsidRDefault="00E4290D" w:rsidP="00F530AF">
      <w:pPr>
        <w:ind w:firstLine="720"/>
        <w:jc w:val="both"/>
        <w:rPr>
          <w:sz w:val="24"/>
          <w:rtl/>
        </w:rPr>
      </w:pPr>
      <w:r w:rsidRPr="00106D3A">
        <w:rPr>
          <w:rFonts w:hint="cs"/>
          <w:sz w:val="24"/>
          <w:rtl/>
        </w:rPr>
        <w:t xml:space="preserve">בשיטות אופייניות של ביקורת שיפוטית </w:t>
      </w:r>
      <w:r w:rsidRPr="008A2A5D">
        <w:rPr>
          <w:rFonts w:hint="cs"/>
          <w:sz w:val="24"/>
          <w:rtl/>
        </w:rPr>
        <w:t>ריכוזית</w:t>
      </w:r>
      <w:r w:rsidR="00457E90" w:rsidRPr="00106D3A">
        <w:rPr>
          <w:rFonts w:hint="cs"/>
          <w:sz w:val="24"/>
          <w:rtl/>
        </w:rPr>
        <w:t xml:space="preserve">, כמו גרמניה או איטליה, </w:t>
      </w:r>
      <w:r w:rsidRPr="00106D3A">
        <w:rPr>
          <w:rFonts w:hint="cs"/>
          <w:sz w:val="24"/>
          <w:rtl/>
        </w:rPr>
        <w:t xml:space="preserve">שופטי ערכאות הדיון אכן מוסמכים לעורר מיוזמתם קשיים חוקתיים </w:t>
      </w:r>
      <w:r w:rsidRPr="00106D3A">
        <w:rPr>
          <w:sz w:val="24"/>
          <w:rtl/>
        </w:rPr>
        <w:t>–</w:t>
      </w:r>
      <w:r w:rsidRPr="00106D3A">
        <w:rPr>
          <w:rFonts w:hint="cs"/>
          <w:sz w:val="24"/>
          <w:rtl/>
        </w:rPr>
        <w:t xml:space="preserve"> ולהפנותם לערכאה הריכוזית.</w:t>
      </w:r>
      <w:r w:rsidRPr="00106D3A">
        <w:rPr>
          <w:rStyle w:val="FootnoteReference"/>
          <w:sz w:val="24"/>
          <w:rtl/>
        </w:rPr>
        <w:footnoteReference w:id="146"/>
      </w:r>
      <w:r w:rsidRPr="00106D3A">
        <w:rPr>
          <w:rFonts w:hint="cs"/>
          <w:sz w:val="24"/>
          <w:rtl/>
        </w:rPr>
        <w:t xml:space="preserve"> אך זהו </w:t>
      </w:r>
      <w:r w:rsidR="00F701EE" w:rsidRPr="00106D3A">
        <w:rPr>
          <w:rFonts w:hint="cs"/>
          <w:sz w:val="24"/>
          <w:rtl/>
        </w:rPr>
        <w:t>נתון</w:t>
      </w:r>
      <w:r w:rsidRPr="00106D3A">
        <w:rPr>
          <w:rFonts w:hint="cs"/>
          <w:sz w:val="24"/>
          <w:rtl/>
        </w:rPr>
        <w:t xml:space="preserve"> מתבקש, שכן מדובר בשיטות המשויכות </w:t>
      </w:r>
      <w:r w:rsidR="00D460F3" w:rsidRPr="00106D3A">
        <w:rPr>
          <w:rFonts w:hint="cs"/>
          <w:sz w:val="24"/>
          <w:rtl/>
        </w:rPr>
        <w:t xml:space="preserve">לרוב </w:t>
      </w:r>
      <w:r w:rsidRPr="00106D3A">
        <w:rPr>
          <w:rFonts w:hint="cs"/>
          <w:sz w:val="24"/>
          <w:rtl/>
        </w:rPr>
        <w:t xml:space="preserve">למסורת הקונטיננטלית-אינקוויזיטורית, בהן ממילא השופט הוא מנהל ההליך ולו סמכות רחבה להעלות עניינים עובדתיים כמשפטיים. </w:t>
      </w:r>
      <w:r w:rsidR="00F530AF" w:rsidRPr="00106D3A">
        <w:rPr>
          <w:rFonts w:hint="cs"/>
          <w:sz w:val="24"/>
          <w:rtl/>
        </w:rPr>
        <w:t xml:space="preserve">השיטה הביזורית הוותיקה מכולם </w:t>
      </w:r>
      <w:r w:rsidR="00F530AF" w:rsidRPr="00106D3A">
        <w:rPr>
          <w:sz w:val="24"/>
          <w:rtl/>
        </w:rPr>
        <w:t>–</w:t>
      </w:r>
      <w:r w:rsidR="00915CFA" w:rsidRPr="00106D3A">
        <w:rPr>
          <w:rFonts w:hint="cs"/>
          <w:sz w:val="24"/>
          <w:rtl/>
        </w:rPr>
        <w:t xml:space="preserve"> </w:t>
      </w:r>
      <w:r w:rsidR="00F530AF" w:rsidRPr="00106D3A">
        <w:rPr>
          <w:rFonts w:hint="cs"/>
          <w:sz w:val="24"/>
          <w:rtl/>
        </w:rPr>
        <w:t xml:space="preserve">זו הנהוגה בארצות הברית </w:t>
      </w:r>
      <w:r w:rsidR="00F530AF" w:rsidRPr="00106D3A">
        <w:rPr>
          <w:sz w:val="24"/>
          <w:rtl/>
        </w:rPr>
        <w:t>–</w:t>
      </w:r>
      <w:r w:rsidR="00F530AF" w:rsidRPr="00106D3A">
        <w:rPr>
          <w:rFonts w:hint="cs"/>
          <w:sz w:val="24"/>
          <w:rtl/>
        </w:rPr>
        <w:t xml:space="preserve"> אמנם משייכת עצמה למסורת האדברסרית, אך ההיסטוריה החוקתית שלה רצופה פסיקות הן בבית המשפט העליון והן בערכאות שתחתיו שקבעו הלכות חוקתיות מבלי שהטענה הועלתה על ידי בעלי הדין.</w:t>
      </w:r>
      <w:r w:rsidR="00F530AF" w:rsidRPr="00106D3A">
        <w:rPr>
          <w:rStyle w:val="FootnoteReference"/>
          <w:sz w:val="24"/>
          <w:rtl/>
        </w:rPr>
        <w:footnoteReference w:id="147"/>
      </w:r>
      <w:r w:rsidR="00F530AF" w:rsidRPr="00106D3A">
        <w:rPr>
          <w:rFonts w:hint="cs"/>
          <w:sz w:val="24"/>
          <w:rtl/>
        </w:rPr>
        <w:t xml:space="preserve"> </w:t>
      </w:r>
    </w:p>
    <w:p w:rsidR="00CF6C3F" w:rsidRPr="00106D3A" w:rsidRDefault="005C689F" w:rsidP="000450DC">
      <w:pPr>
        <w:ind w:firstLine="720"/>
        <w:jc w:val="both"/>
        <w:rPr>
          <w:sz w:val="24"/>
          <w:rtl/>
        </w:rPr>
      </w:pPr>
      <w:r w:rsidRPr="00106D3A">
        <w:rPr>
          <w:rFonts w:hint="cs"/>
          <w:sz w:val="24"/>
          <w:rtl/>
        </w:rPr>
        <w:t xml:space="preserve">סביר </w:t>
      </w:r>
      <w:r w:rsidR="00576EF5" w:rsidRPr="00106D3A">
        <w:rPr>
          <w:rFonts w:hint="cs"/>
          <w:sz w:val="24"/>
          <w:rtl/>
        </w:rPr>
        <w:t xml:space="preserve">שגם </w:t>
      </w:r>
      <w:r w:rsidR="00DD33EF" w:rsidRPr="00106D3A">
        <w:rPr>
          <w:rFonts w:hint="cs"/>
          <w:sz w:val="24"/>
          <w:rtl/>
        </w:rPr>
        <w:t xml:space="preserve">מבחינת המשפט הפוזיטיבי </w:t>
      </w:r>
      <w:r w:rsidR="00576EF5" w:rsidRPr="00106D3A">
        <w:rPr>
          <w:rFonts w:hint="cs"/>
          <w:sz w:val="24"/>
          <w:rtl/>
        </w:rPr>
        <w:t xml:space="preserve">הישראלי לשופטי ערכאות הדיון מותר </w:t>
      </w:r>
      <w:r w:rsidR="00576EF5" w:rsidRPr="00106D3A">
        <w:rPr>
          <w:sz w:val="24"/>
          <w:rtl/>
        </w:rPr>
        <w:t>–</w:t>
      </w:r>
      <w:r w:rsidR="00576EF5" w:rsidRPr="00106D3A">
        <w:rPr>
          <w:rFonts w:hint="cs"/>
          <w:sz w:val="24"/>
          <w:rtl/>
        </w:rPr>
        <w:t xml:space="preserve"> ואולי אפילו חובה עליהם </w:t>
      </w:r>
      <w:r w:rsidR="00576EF5" w:rsidRPr="00106D3A">
        <w:rPr>
          <w:sz w:val="24"/>
          <w:rtl/>
        </w:rPr>
        <w:t>–</w:t>
      </w:r>
      <w:r w:rsidR="00576EF5" w:rsidRPr="00106D3A">
        <w:rPr>
          <w:rFonts w:hint="cs"/>
          <w:sz w:val="24"/>
          <w:rtl/>
        </w:rPr>
        <w:t xml:space="preserve"> לעורר מיוזמתם את השאלה החוקתית. הדבר מתבקש ראשית מן ההיגיון </w:t>
      </w:r>
      <w:r w:rsidR="00576EF5" w:rsidRPr="00106D3A">
        <w:rPr>
          <w:rFonts w:hint="cs"/>
          <w:sz w:val="24"/>
          <w:rtl/>
        </w:rPr>
        <w:lastRenderedPageBreak/>
        <w:t xml:space="preserve">הפילוסופי שנהוג לייחס לשיטה הביזורית, מאז פסק דין </w:t>
      </w:r>
      <w:r w:rsidR="00576EF5" w:rsidRPr="00106D3A">
        <w:rPr>
          <w:i/>
          <w:iCs/>
          <w:sz w:val="24"/>
        </w:rPr>
        <w:t>Marbury</w:t>
      </w:r>
      <w:r w:rsidR="00576EF5" w:rsidRPr="00106D3A">
        <w:rPr>
          <w:rFonts w:hint="cs"/>
          <w:sz w:val="24"/>
          <w:rtl/>
        </w:rPr>
        <w:t xml:space="preserve"> לפחות, המניח שאי-חוקתיות שוללת את תוקפו של חוק, ומכאן </w:t>
      </w:r>
      <w:r w:rsidRPr="00106D3A">
        <w:rPr>
          <w:rFonts w:hint="cs"/>
          <w:sz w:val="24"/>
          <w:rtl/>
        </w:rPr>
        <w:t>ש</w:t>
      </w:r>
      <w:r w:rsidR="00576EF5" w:rsidRPr="00106D3A">
        <w:rPr>
          <w:rFonts w:hint="cs"/>
          <w:sz w:val="24"/>
          <w:rtl/>
        </w:rPr>
        <w:t xml:space="preserve">אין ליישמו בשום ערכאה ובשום הליך. אם הנורמה </w:t>
      </w:r>
      <w:r w:rsidRPr="00106D3A">
        <w:rPr>
          <w:rFonts w:hint="cs"/>
          <w:sz w:val="24"/>
          <w:rtl/>
        </w:rPr>
        <w:t xml:space="preserve">כלל </w:t>
      </w:r>
      <w:r w:rsidR="00576EF5" w:rsidRPr="00106D3A">
        <w:rPr>
          <w:rFonts w:hint="cs"/>
          <w:sz w:val="24"/>
          <w:rtl/>
        </w:rPr>
        <w:t>"אינה חוק" (כי היא אינה עומדת בתנאי התוקף החוקתיים),</w:t>
      </w:r>
      <w:r w:rsidR="002B7447" w:rsidRPr="00106D3A">
        <w:rPr>
          <w:rStyle w:val="FootnoteReference"/>
          <w:sz w:val="24"/>
          <w:rtl/>
        </w:rPr>
        <w:footnoteReference w:id="148"/>
      </w:r>
      <w:r w:rsidR="00576EF5" w:rsidRPr="00106D3A">
        <w:rPr>
          <w:rFonts w:hint="cs"/>
          <w:sz w:val="24"/>
          <w:rtl/>
        </w:rPr>
        <w:t xml:space="preserve"> הרי בית המשפט אינו רשאי להחילה, </w:t>
      </w:r>
      <w:r w:rsidR="00D879CB" w:rsidRPr="00106D3A">
        <w:rPr>
          <w:rFonts w:hint="cs"/>
          <w:sz w:val="24"/>
          <w:rtl/>
        </w:rPr>
        <w:t>ורצון הצדדים אינו מעלה ואינו מוריד בעניין זה.</w:t>
      </w:r>
      <w:r w:rsidR="00BE6AD3" w:rsidRPr="00106D3A">
        <w:rPr>
          <w:rStyle w:val="FootnoteReference"/>
          <w:sz w:val="24"/>
          <w:rtl/>
        </w:rPr>
        <w:footnoteReference w:id="149"/>
      </w:r>
      <w:r w:rsidR="00D879CB" w:rsidRPr="00106D3A">
        <w:rPr>
          <w:rFonts w:hint="cs"/>
          <w:sz w:val="24"/>
          <w:rtl/>
        </w:rPr>
        <w:t xml:space="preserve"> </w:t>
      </w:r>
      <w:r w:rsidR="002A70D4" w:rsidRPr="00106D3A">
        <w:rPr>
          <w:rFonts w:hint="cs"/>
          <w:sz w:val="24"/>
          <w:rtl/>
        </w:rPr>
        <w:t xml:space="preserve">במובן זה </w:t>
      </w:r>
      <w:r w:rsidR="00D879CB" w:rsidRPr="00106D3A">
        <w:rPr>
          <w:rFonts w:hint="cs"/>
          <w:sz w:val="24"/>
          <w:rtl/>
        </w:rPr>
        <w:t xml:space="preserve">אי-חוקתיותו של חוק היא אנלוגית להעדרה של סמכות שיפוט עניינית: אם החוק לא הסמיך ערכאה מסוימת לדון בעניין מסוים, היא אינה רשאית לעשות זאת גם אם בעלי הדין מעוניינים בכך, ואכן </w:t>
      </w:r>
      <w:r w:rsidR="00CF6C3F" w:rsidRPr="00106D3A">
        <w:rPr>
          <w:rFonts w:hint="cs"/>
          <w:sz w:val="24"/>
          <w:rtl/>
        </w:rPr>
        <w:t>ב</w:t>
      </w:r>
      <w:r w:rsidR="00D879CB" w:rsidRPr="00106D3A">
        <w:rPr>
          <w:rFonts w:hint="cs"/>
          <w:sz w:val="24"/>
          <w:rtl/>
        </w:rPr>
        <w:t xml:space="preserve">משפט הישראלי בית המשפט </w:t>
      </w:r>
      <w:r w:rsidR="000450DC">
        <w:rPr>
          <w:rFonts w:hint="cs"/>
          <w:sz w:val="24"/>
          <w:rtl/>
        </w:rPr>
        <w:t xml:space="preserve">אמור </w:t>
      </w:r>
      <w:r w:rsidR="00D879CB" w:rsidRPr="00106D3A">
        <w:rPr>
          <w:rFonts w:hint="cs"/>
          <w:sz w:val="24"/>
          <w:rtl/>
        </w:rPr>
        <w:t>לעורר מיוזמתו ספק בסמכותו העניינית.</w:t>
      </w:r>
      <w:r w:rsidR="00B42F2B" w:rsidRPr="00106D3A">
        <w:rPr>
          <w:rStyle w:val="FootnoteReference"/>
          <w:sz w:val="24"/>
          <w:rtl/>
        </w:rPr>
        <w:footnoteReference w:id="150"/>
      </w:r>
      <w:r w:rsidR="00D879CB" w:rsidRPr="00106D3A">
        <w:rPr>
          <w:rFonts w:hint="cs"/>
          <w:sz w:val="24"/>
          <w:rtl/>
        </w:rPr>
        <w:t xml:space="preserve"> </w:t>
      </w:r>
      <w:r w:rsidR="00CF6C3F" w:rsidRPr="00106D3A">
        <w:rPr>
          <w:rFonts w:hint="cs"/>
          <w:sz w:val="24"/>
          <w:rtl/>
        </w:rPr>
        <w:t>בית המשפט מוסמך אף לעורר מיוזמתו שאלות סף יסודיות נוספות, כמו קיומה של שפיטות מוסדית,</w:t>
      </w:r>
      <w:r w:rsidR="00CF6C3F" w:rsidRPr="00106D3A">
        <w:rPr>
          <w:rStyle w:val="FootnoteReference"/>
          <w:sz w:val="24"/>
          <w:rtl/>
        </w:rPr>
        <w:footnoteReference w:id="151"/>
      </w:r>
      <w:r w:rsidR="00CF6C3F" w:rsidRPr="00106D3A">
        <w:rPr>
          <w:rFonts w:hint="cs"/>
          <w:sz w:val="24"/>
          <w:rtl/>
        </w:rPr>
        <w:t xml:space="preserve"> או זהות הדין החל על הענ</w:t>
      </w:r>
      <w:r w:rsidR="00F5411F" w:rsidRPr="00106D3A">
        <w:rPr>
          <w:rFonts w:hint="cs"/>
          <w:sz w:val="24"/>
          <w:rtl/>
        </w:rPr>
        <w:t>י</w:t>
      </w:r>
      <w:r w:rsidR="00CF6C3F" w:rsidRPr="00106D3A">
        <w:rPr>
          <w:rFonts w:hint="cs"/>
          <w:sz w:val="24"/>
          <w:rtl/>
        </w:rPr>
        <w:t>ין הנדון.</w:t>
      </w:r>
      <w:r w:rsidR="00F5411F" w:rsidRPr="00106D3A">
        <w:rPr>
          <w:rStyle w:val="FootnoteReference"/>
          <w:sz w:val="24"/>
          <w:rtl/>
        </w:rPr>
        <w:footnoteReference w:id="152"/>
      </w:r>
      <w:r w:rsidR="00CF6C3F" w:rsidRPr="00106D3A">
        <w:rPr>
          <w:rFonts w:hint="cs"/>
          <w:sz w:val="24"/>
          <w:rtl/>
        </w:rPr>
        <w:t xml:space="preserve"> </w:t>
      </w:r>
      <w:r w:rsidR="009647C3" w:rsidRPr="00106D3A">
        <w:rPr>
          <w:rFonts w:hint="cs"/>
          <w:sz w:val="24"/>
          <w:rtl/>
        </w:rPr>
        <w:t>אף שחזקת החוק(ת)</w:t>
      </w:r>
      <w:proofErr w:type="spellStart"/>
      <w:r w:rsidR="009647C3" w:rsidRPr="00106D3A">
        <w:rPr>
          <w:rFonts w:hint="cs"/>
          <w:sz w:val="24"/>
          <w:rtl/>
        </w:rPr>
        <w:t>יות</w:t>
      </w:r>
      <w:proofErr w:type="spellEnd"/>
      <w:r w:rsidR="009647C3" w:rsidRPr="00106D3A">
        <w:rPr>
          <w:rFonts w:hint="cs"/>
          <w:sz w:val="24"/>
          <w:rtl/>
        </w:rPr>
        <w:t xml:space="preserve"> חלה על </w:t>
      </w:r>
      <w:r w:rsidR="007B3076" w:rsidRPr="00106D3A">
        <w:rPr>
          <w:rFonts w:hint="cs"/>
          <w:sz w:val="24"/>
          <w:rtl/>
        </w:rPr>
        <w:t xml:space="preserve">החקיקה הישראלית ברמותיה השונות, </w:t>
      </w:r>
      <w:r w:rsidR="009647C3" w:rsidRPr="00106D3A">
        <w:rPr>
          <w:rFonts w:hint="cs"/>
          <w:sz w:val="24"/>
          <w:rtl/>
        </w:rPr>
        <w:t>ומעת לעת אמנם "ננזפות" ערכאות הדיון על העלאה יזומה של ספק באשר לתוקף הנורמה</w:t>
      </w:r>
      <w:r w:rsidR="0001444B" w:rsidRPr="00106D3A">
        <w:rPr>
          <w:rFonts w:hint="cs"/>
          <w:sz w:val="24"/>
          <w:rtl/>
        </w:rPr>
        <w:t>,</w:t>
      </w:r>
      <w:r w:rsidR="00D74E38" w:rsidRPr="00106D3A">
        <w:rPr>
          <w:rStyle w:val="FootnoteReference"/>
          <w:sz w:val="24"/>
          <w:rtl/>
        </w:rPr>
        <w:footnoteReference w:id="153"/>
      </w:r>
      <w:r w:rsidR="0001444B" w:rsidRPr="00106D3A">
        <w:rPr>
          <w:rFonts w:hint="cs"/>
          <w:sz w:val="24"/>
          <w:rtl/>
        </w:rPr>
        <w:t xml:space="preserve"> </w:t>
      </w:r>
      <w:r w:rsidR="000F3E09" w:rsidRPr="00106D3A">
        <w:rPr>
          <w:rFonts w:hint="cs"/>
          <w:sz w:val="24"/>
          <w:rtl/>
        </w:rPr>
        <w:t xml:space="preserve">הרי הגישה המקובלת בפסיקת בית המשפט העליון הנה שבית משפט רשאי לעורר טענה משפטית, אף אם לא הועלתה בידי בעלי הדין, אם </w:t>
      </w:r>
      <w:r w:rsidR="00FA7840" w:rsidRPr="00106D3A">
        <w:rPr>
          <w:rFonts w:hint="cs"/>
          <w:sz w:val="24"/>
          <w:rtl/>
        </w:rPr>
        <w:t xml:space="preserve">הצדק מחייב זאת ויהיה בכך לקדם </w:t>
      </w:r>
      <w:r w:rsidR="00196F50" w:rsidRPr="00106D3A">
        <w:rPr>
          <w:rFonts w:hint="cs"/>
          <w:sz w:val="24"/>
          <w:rtl/>
        </w:rPr>
        <w:t>את טובת הציבור.</w:t>
      </w:r>
      <w:r w:rsidR="00527126" w:rsidRPr="00106D3A">
        <w:rPr>
          <w:rStyle w:val="FootnoteReference"/>
          <w:sz w:val="24"/>
          <w:rtl/>
        </w:rPr>
        <w:footnoteReference w:id="154"/>
      </w:r>
      <w:r w:rsidR="00196F50" w:rsidRPr="00106D3A">
        <w:rPr>
          <w:rFonts w:hint="cs"/>
          <w:sz w:val="24"/>
          <w:rtl/>
        </w:rPr>
        <w:t xml:space="preserve"> </w:t>
      </w:r>
      <w:r w:rsidR="00C17D01" w:rsidRPr="00106D3A">
        <w:rPr>
          <w:rFonts w:hint="cs"/>
          <w:sz w:val="24"/>
          <w:rtl/>
        </w:rPr>
        <w:t xml:space="preserve">קשה לחשוב על שאלה משפטית שנוגעת באופן עמוק יותר </w:t>
      </w:r>
      <w:r w:rsidR="00BA3745" w:rsidRPr="00106D3A">
        <w:rPr>
          <w:rFonts w:hint="cs"/>
          <w:sz w:val="24"/>
          <w:rtl/>
        </w:rPr>
        <w:t>לצדק במשפט ו</w:t>
      </w:r>
      <w:r w:rsidR="00C17D01" w:rsidRPr="00106D3A">
        <w:rPr>
          <w:rFonts w:hint="cs"/>
          <w:sz w:val="24"/>
          <w:rtl/>
        </w:rPr>
        <w:t xml:space="preserve">לטובת הציבור מאשר האפשרות שהכנסת חוקקה חוק שסותר את החוקה הישראלית. </w:t>
      </w:r>
      <w:r w:rsidR="006B215E" w:rsidRPr="00106D3A">
        <w:rPr>
          <w:rFonts w:hint="cs"/>
          <w:sz w:val="24"/>
          <w:rtl/>
        </w:rPr>
        <w:t>כ</w:t>
      </w:r>
      <w:r w:rsidR="00EF2E89" w:rsidRPr="00106D3A">
        <w:rPr>
          <w:rFonts w:hint="cs"/>
          <w:sz w:val="24"/>
          <w:rtl/>
        </w:rPr>
        <w:t>מובן</w:t>
      </w:r>
      <w:r w:rsidR="006B215E" w:rsidRPr="00106D3A">
        <w:rPr>
          <w:rFonts w:hint="cs"/>
          <w:sz w:val="24"/>
          <w:rtl/>
        </w:rPr>
        <w:t xml:space="preserve">, </w:t>
      </w:r>
      <w:r w:rsidR="00EF2E89" w:rsidRPr="00106D3A">
        <w:rPr>
          <w:rFonts w:hint="cs"/>
          <w:sz w:val="24"/>
          <w:rtl/>
        </w:rPr>
        <w:t>אם מחליט בית המשפט לעורר שאלה חוקתית, עליו לתת לבעלי הדין זכות טיעון בעניין לפני שיכריע.</w:t>
      </w:r>
      <w:r w:rsidR="00AA567A" w:rsidRPr="00106D3A">
        <w:rPr>
          <w:rStyle w:val="FootnoteReference"/>
          <w:sz w:val="24"/>
          <w:rtl/>
        </w:rPr>
        <w:footnoteReference w:id="155"/>
      </w:r>
    </w:p>
    <w:p w:rsidR="00807412" w:rsidRPr="00106D3A" w:rsidRDefault="00807412" w:rsidP="005D1CDE">
      <w:pPr>
        <w:ind w:firstLine="720"/>
        <w:jc w:val="both"/>
        <w:rPr>
          <w:sz w:val="24"/>
          <w:rtl/>
        </w:rPr>
      </w:pPr>
    </w:p>
    <w:p w:rsidR="00807412" w:rsidRPr="00106D3A" w:rsidRDefault="00807412" w:rsidP="00807412">
      <w:pPr>
        <w:pStyle w:val="Heading2"/>
        <w:rPr>
          <w:rtl/>
        </w:rPr>
      </w:pPr>
      <w:bookmarkStart w:id="52" w:name="_Toc372223071"/>
      <w:r w:rsidRPr="00106D3A">
        <w:rPr>
          <w:rFonts w:hint="cs"/>
          <w:rtl/>
        </w:rPr>
        <w:t>התייצבות המדינה</w:t>
      </w:r>
      <w:bookmarkEnd w:id="52"/>
    </w:p>
    <w:p w:rsidR="00110068" w:rsidRPr="00106D3A" w:rsidRDefault="000B6ACD" w:rsidP="00F026BF">
      <w:pPr>
        <w:ind w:firstLine="720"/>
        <w:jc w:val="both"/>
        <w:rPr>
          <w:sz w:val="24"/>
          <w:rtl/>
        </w:rPr>
      </w:pPr>
      <w:r w:rsidRPr="00106D3A">
        <w:rPr>
          <w:rFonts w:hint="cs"/>
          <w:sz w:val="24"/>
          <w:rtl/>
        </w:rPr>
        <w:t>השיטה הריכוזית המבוססת על תקיפה ישירה בבג"ץ מבטיחה שבכל הליך חוקתי תיוצג בין היתר עמדת המדינה, באמצעות נציגי היועץ המשפטי לממשלה</w:t>
      </w:r>
      <w:r w:rsidR="00303DE0" w:rsidRPr="00106D3A">
        <w:rPr>
          <w:rFonts w:hint="cs"/>
          <w:sz w:val="24"/>
          <w:rtl/>
        </w:rPr>
        <w:t xml:space="preserve"> המשיבים לעתירה</w:t>
      </w:r>
      <w:r w:rsidRPr="00106D3A">
        <w:rPr>
          <w:rFonts w:hint="cs"/>
          <w:sz w:val="24"/>
          <w:rtl/>
        </w:rPr>
        <w:t xml:space="preserve">. </w:t>
      </w:r>
      <w:r w:rsidR="00EF47AE" w:rsidRPr="00106D3A">
        <w:rPr>
          <w:rFonts w:hint="cs"/>
          <w:sz w:val="24"/>
          <w:rtl/>
        </w:rPr>
        <w:t xml:space="preserve">הסדר זה מבטיח שההיבט הציבורי של השאלה החוקתית יקבל ביטוי בהליך המשפטי. </w:t>
      </w:r>
      <w:r w:rsidR="00885A8C" w:rsidRPr="00106D3A">
        <w:rPr>
          <w:rFonts w:hint="cs"/>
          <w:sz w:val="24"/>
          <w:rtl/>
        </w:rPr>
        <w:t xml:space="preserve">גם </w:t>
      </w:r>
      <w:r w:rsidR="00EE21BE" w:rsidRPr="00106D3A">
        <w:rPr>
          <w:rFonts w:hint="cs"/>
          <w:sz w:val="24"/>
          <w:rtl/>
        </w:rPr>
        <w:t>בשיטה הביזורית</w:t>
      </w:r>
      <w:r w:rsidR="00885A8C" w:rsidRPr="00106D3A">
        <w:rPr>
          <w:rFonts w:hint="cs"/>
          <w:sz w:val="24"/>
          <w:rtl/>
        </w:rPr>
        <w:t xml:space="preserve"> המדינה (או רשות מרשויותיה) היא צד להליכים רבים </w:t>
      </w:r>
      <w:r w:rsidR="00885A8C" w:rsidRPr="00106D3A">
        <w:rPr>
          <w:sz w:val="24"/>
          <w:rtl/>
        </w:rPr>
        <w:t>–</w:t>
      </w:r>
      <w:r w:rsidR="00885A8C" w:rsidRPr="00106D3A">
        <w:rPr>
          <w:rFonts w:hint="cs"/>
          <w:sz w:val="24"/>
          <w:rtl/>
        </w:rPr>
        <w:t xml:space="preserve"> בראש ובראשונה כל ההליכים הפליליים, </w:t>
      </w:r>
      <w:r w:rsidR="00502F95" w:rsidRPr="00106D3A">
        <w:rPr>
          <w:rFonts w:hint="cs"/>
          <w:sz w:val="24"/>
          <w:rtl/>
        </w:rPr>
        <w:t>וכן ה</w:t>
      </w:r>
      <w:r w:rsidR="00885A8C" w:rsidRPr="00106D3A">
        <w:rPr>
          <w:rFonts w:hint="cs"/>
          <w:sz w:val="24"/>
          <w:rtl/>
        </w:rPr>
        <w:t xml:space="preserve">הליכים </w:t>
      </w:r>
      <w:r w:rsidR="00502F95" w:rsidRPr="00106D3A">
        <w:rPr>
          <w:rFonts w:hint="cs"/>
          <w:sz w:val="24"/>
          <w:rtl/>
        </w:rPr>
        <w:t>ה</w:t>
      </w:r>
      <w:r w:rsidR="00885A8C" w:rsidRPr="00106D3A">
        <w:rPr>
          <w:rFonts w:hint="cs"/>
          <w:sz w:val="24"/>
          <w:rtl/>
        </w:rPr>
        <w:t>מנהליים</w:t>
      </w:r>
      <w:r w:rsidR="00E3768A" w:rsidRPr="00106D3A">
        <w:rPr>
          <w:rFonts w:hint="cs"/>
          <w:sz w:val="24"/>
          <w:rtl/>
        </w:rPr>
        <w:t xml:space="preserve"> למיניהם. תחומי משפט אלה מאופיינים בפגיעות תדירות בזכויות אדם ומכאן שניתן לצפות </w:t>
      </w:r>
      <w:r w:rsidR="00CA03EE" w:rsidRPr="00106D3A">
        <w:rPr>
          <w:rFonts w:hint="cs"/>
          <w:sz w:val="24"/>
          <w:rtl/>
        </w:rPr>
        <w:t>שרבות מהטענות החוקתיות במסלול הביזורי יופיעו בהם. יחד עם זאת מובן שטענות חוקתיות רבות עשויות</w:t>
      </w:r>
      <w:r w:rsidR="00EE21BE" w:rsidRPr="00106D3A">
        <w:rPr>
          <w:rFonts w:hint="cs"/>
          <w:sz w:val="24"/>
          <w:rtl/>
        </w:rPr>
        <w:t xml:space="preserve"> להתעורר גם בהליכים </w:t>
      </w:r>
      <w:r w:rsidR="00CA03EE" w:rsidRPr="00106D3A">
        <w:rPr>
          <w:rFonts w:hint="cs"/>
          <w:sz w:val="24"/>
          <w:rtl/>
        </w:rPr>
        <w:t xml:space="preserve">אזרחיים </w:t>
      </w:r>
      <w:r w:rsidR="00EE21BE" w:rsidRPr="00106D3A">
        <w:rPr>
          <w:rFonts w:hint="cs"/>
          <w:sz w:val="24"/>
          <w:rtl/>
        </w:rPr>
        <w:t xml:space="preserve">שהמדינה אינה </w:t>
      </w:r>
      <w:r w:rsidR="00CA03EE" w:rsidRPr="00106D3A">
        <w:rPr>
          <w:rFonts w:hint="cs"/>
          <w:sz w:val="24"/>
          <w:rtl/>
        </w:rPr>
        <w:t xml:space="preserve">צד להם, </w:t>
      </w:r>
      <w:r w:rsidR="00EE21BE" w:rsidRPr="00106D3A">
        <w:rPr>
          <w:rFonts w:hint="cs"/>
          <w:sz w:val="24"/>
          <w:rtl/>
        </w:rPr>
        <w:t>ובמובן זה העניין הציבורי לא יקבל בהם ביטוי ממוסד</w:t>
      </w:r>
      <w:r w:rsidR="004349D5" w:rsidRPr="00106D3A">
        <w:rPr>
          <w:rFonts w:hint="cs"/>
          <w:sz w:val="24"/>
          <w:rtl/>
        </w:rPr>
        <w:t xml:space="preserve"> </w:t>
      </w:r>
      <w:r w:rsidR="00C9695A" w:rsidRPr="00106D3A">
        <w:rPr>
          <w:rFonts w:hint="cs"/>
          <w:sz w:val="24"/>
          <w:rtl/>
        </w:rPr>
        <w:t>כ</w:t>
      </w:r>
      <w:r w:rsidR="004349D5" w:rsidRPr="00106D3A">
        <w:rPr>
          <w:rFonts w:hint="cs"/>
          <w:sz w:val="24"/>
          <w:rtl/>
        </w:rPr>
        <w:t>טיעון משפטי אדברסרי</w:t>
      </w:r>
      <w:r w:rsidR="00EE21BE" w:rsidRPr="00106D3A">
        <w:rPr>
          <w:rFonts w:hint="cs"/>
          <w:sz w:val="24"/>
          <w:rtl/>
        </w:rPr>
        <w:t xml:space="preserve">. </w:t>
      </w:r>
      <w:r w:rsidR="003649AD" w:rsidRPr="00106D3A">
        <w:rPr>
          <w:rFonts w:hint="cs"/>
          <w:sz w:val="24"/>
          <w:rtl/>
        </w:rPr>
        <w:t xml:space="preserve">זה אינו מצב שלילי בהכרח, שכן חלק מהמשיכה של המודל הביזורי מצוי גם ב"הפרטה" המסוימת של השיח החוקתי </w:t>
      </w:r>
      <w:r w:rsidR="003649AD" w:rsidRPr="00106D3A">
        <w:rPr>
          <w:sz w:val="24"/>
          <w:rtl/>
        </w:rPr>
        <w:t>–</w:t>
      </w:r>
      <w:r w:rsidR="003649AD" w:rsidRPr="00106D3A">
        <w:rPr>
          <w:rFonts w:hint="cs"/>
          <w:sz w:val="24"/>
          <w:rtl/>
        </w:rPr>
        <w:t xml:space="preserve"> באפשרות שהוא ינוהל בין בעלי עניין פרטיים, שעשויים להעלות טענות מקוריות ולחשוף נקודות מבט ייחודיות שאינן זמינות למעצבי הדין המדינתיים. </w:t>
      </w:r>
      <w:r w:rsidR="00877239" w:rsidRPr="00106D3A">
        <w:rPr>
          <w:rFonts w:hint="cs"/>
          <w:sz w:val="24"/>
          <w:rtl/>
        </w:rPr>
        <w:t xml:space="preserve">מעבר לכך, גם בהליך אזרחי-פרטי </w:t>
      </w:r>
      <w:r w:rsidR="00877239" w:rsidRPr="00106D3A">
        <w:rPr>
          <w:rFonts w:hint="cs"/>
          <w:sz w:val="24"/>
          <w:rtl/>
        </w:rPr>
        <w:lastRenderedPageBreak/>
        <w:t>המדינה כמובן "נוכחת"</w:t>
      </w:r>
      <w:r w:rsidR="00D5417B" w:rsidRPr="00106D3A">
        <w:rPr>
          <w:rFonts w:hint="cs"/>
          <w:sz w:val="24"/>
          <w:rtl/>
        </w:rPr>
        <w:t>,</w:t>
      </w:r>
      <w:r w:rsidR="00877239" w:rsidRPr="00106D3A">
        <w:rPr>
          <w:rFonts w:hint="cs"/>
          <w:sz w:val="24"/>
          <w:rtl/>
        </w:rPr>
        <w:t xml:space="preserve"> </w:t>
      </w:r>
      <w:r w:rsidR="00F026BF" w:rsidRPr="00106D3A">
        <w:rPr>
          <w:rFonts w:hint="cs"/>
          <w:sz w:val="24"/>
          <w:rtl/>
        </w:rPr>
        <w:t xml:space="preserve">למצער </w:t>
      </w:r>
      <w:r w:rsidR="00877239" w:rsidRPr="00106D3A">
        <w:rPr>
          <w:rFonts w:hint="cs"/>
          <w:sz w:val="24"/>
          <w:rtl/>
        </w:rPr>
        <w:t xml:space="preserve">בדמות השופט היושב בדין </w:t>
      </w:r>
      <w:r w:rsidR="00F026BF" w:rsidRPr="00106D3A">
        <w:rPr>
          <w:rFonts w:hint="cs"/>
          <w:sz w:val="24"/>
          <w:rtl/>
        </w:rPr>
        <w:t>המפעיל את כוחה של המדינה ואמור ל</w:t>
      </w:r>
      <w:r w:rsidR="00BF2A3F" w:rsidRPr="00106D3A">
        <w:rPr>
          <w:rFonts w:hint="cs"/>
          <w:sz w:val="24"/>
          <w:rtl/>
        </w:rPr>
        <w:t xml:space="preserve">בטא </w:t>
      </w:r>
      <w:r w:rsidR="00D5417B" w:rsidRPr="00106D3A">
        <w:rPr>
          <w:rFonts w:hint="cs"/>
          <w:sz w:val="24"/>
          <w:rtl/>
        </w:rPr>
        <w:t>בפסיקתו</w:t>
      </w:r>
      <w:r w:rsidR="00BF2A3F" w:rsidRPr="00106D3A">
        <w:rPr>
          <w:rFonts w:hint="cs"/>
          <w:sz w:val="24"/>
          <w:rtl/>
        </w:rPr>
        <w:t xml:space="preserve"> את ערכי היסוד של השיטה</w:t>
      </w:r>
      <w:r w:rsidR="003C6567" w:rsidRPr="00106D3A">
        <w:rPr>
          <w:rFonts w:hint="cs"/>
          <w:sz w:val="24"/>
          <w:rtl/>
        </w:rPr>
        <w:t xml:space="preserve"> המשפטית</w:t>
      </w:r>
      <w:r w:rsidR="00BF2A3F" w:rsidRPr="00106D3A">
        <w:rPr>
          <w:rFonts w:hint="cs"/>
          <w:sz w:val="24"/>
          <w:rtl/>
        </w:rPr>
        <w:t xml:space="preserve">. </w:t>
      </w:r>
      <w:r w:rsidR="00FA0424" w:rsidRPr="00106D3A">
        <w:rPr>
          <w:rFonts w:hint="cs"/>
          <w:sz w:val="24"/>
          <w:rtl/>
        </w:rPr>
        <w:t>לבסוף, כזכור תוצאת ההליך המבוזר חלה בשלב הראשון רק על הצדדים עצמם</w:t>
      </w:r>
      <w:r w:rsidR="00FD4A48" w:rsidRPr="00106D3A">
        <w:rPr>
          <w:rFonts w:hint="cs"/>
          <w:sz w:val="24"/>
          <w:rtl/>
        </w:rPr>
        <w:t>, ובמובן צר זה הציבור אינו מושפע ממנה</w:t>
      </w:r>
      <w:r w:rsidR="00F94F0C" w:rsidRPr="00106D3A">
        <w:rPr>
          <w:rFonts w:hint="cs"/>
          <w:sz w:val="24"/>
          <w:rtl/>
        </w:rPr>
        <w:t xml:space="preserve"> ישירות</w:t>
      </w:r>
      <w:r w:rsidR="00FD4A48" w:rsidRPr="00106D3A">
        <w:rPr>
          <w:rFonts w:hint="cs"/>
          <w:sz w:val="24"/>
          <w:rtl/>
        </w:rPr>
        <w:t xml:space="preserve">. </w:t>
      </w:r>
    </w:p>
    <w:p w:rsidR="00007B60" w:rsidRPr="00106D3A" w:rsidRDefault="00FA0424" w:rsidP="00361E01">
      <w:pPr>
        <w:ind w:firstLine="720"/>
        <w:jc w:val="both"/>
        <w:rPr>
          <w:sz w:val="24"/>
          <w:rtl/>
        </w:rPr>
      </w:pPr>
      <w:r w:rsidRPr="00106D3A">
        <w:rPr>
          <w:rFonts w:hint="cs"/>
          <w:sz w:val="24"/>
          <w:rtl/>
        </w:rPr>
        <w:t xml:space="preserve">בה בעת, </w:t>
      </w:r>
      <w:r w:rsidR="00960ABD" w:rsidRPr="00106D3A">
        <w:rPr>
          <w:rFonts w:hint="cs"/>
          <w:sz w:val="24"/>
          <w:rtl/>
        </w:rPr>
        <w:t xml:space="preserve">כפי שכבר נדון קודם לכן, הכרעות חוקתיות במסלול הביזורי עשויות להשפיע גם על אינטרסים ציבוריים ועל מדיניות האכיפה של המדינה. בוודאי כך כאשר הן מטפסות במעלות הערעור, אך גם לפני כן, בהתחשב בהשפעותיהן על </w:t>
      </w:r>
      <w:r w:rsidR="00D321EC" w:rsidRPr="00106D3A">
        <w:rPr>
          <w:rFonts w:hint="cs"/>
          <w:sz w:val="24"/>
          <w:rtl/>
        </w:rPr>
        <w:t xml:space="preserve">דרישת </w:t>
      </w:r>
      <w:r w:rsidR="00960ABD" w:rsidRPr="00106D3A">
        <w:rPr>
          <w:rFonts w:hint="cs"/>
          <w:sz w:val="24"/>
          <w:rtl/>
        </w:rPr>
        <w:t xml:space="preserve">היחס השוויוני של הדין. </w:t>
      </w:r>
      <w:r w:rsidR="001228A7" w:rsidRPr="00106D3A">
        <w:rPr>
          <w:rFonts w:hint="cs"/>
          <w:sz w:val="24"/>
          <w:rtl/>
        </w:rPr>
        <w:t xml:space="preserve">כידוע, </w:t>
      </w:r>
      <w:r w:rsidR="00007B60" w:rsidRPr="00106D3A">
        <w:rPr>
          <w:rFonts w:hint="cs"/>
          <w:sz w:val="24"/>
          <w:rtl/>
        </w:rPr>
        <w:t>במצבים אלה רשאי היועץ המשפטי לממשלה ל</w:t>
      </w:r>
      <w:r w:rsidR="005F6641" w:rsidRPr="00106D3A">
        <w:rPr>
          <w:rFonts w:hint="cs"/>
          <w:sz w:val="24"/>
          <w:rtl/>
        </w:rPr>
        <w:t xml:space="preserve">התייצב מיוזמתו בהליך </w:t>
      </w:r>
      <w:r w:rsidR="001228A7" w:rsidRPr="00106D3A">
        <w:rPr>
          <w:rFonts w:hint="cs"/>
          <w:sz w:val="24"/>
          <w:rtl/>
        </w:rPr>
        <w:t>"ולהשמיע דברו".</w:t>
      </w:r>
      <w:r w:rsidR="00246C66" w:rsidRPr="00106D3A">
        <w:rPr>
          <w:rStyle w:val="FootnoteReference"/>
          <w:sz w:val="24"/>
          <w:rtl/>
        </w:rPr>
        <w:footnoteReference w:id="156"/>
      </w:r>
      <w:r w:rsidR="001228A7" w:rsidRPr="00106D3A">
        <w:rPr>
          <w:rFonts w:hint="cs"/>
          <w:sz w:val="24"/>
          <w:rtl/>
        </w:rPr>
        <w:t xml:space="preserve"> </w:t>
      </w:r>
      <w:r w:rsidR="00DD57C4" w:rsidRPr="00106D3A">
        <w:rPr>
          <w:rFonts w:hint="cs"/>
          <w:sz w:val="24"/>
          <w:rtl/>
        </w:rPr>
        <w:t xml:space="preserve">ייתכן שלאור חשיבותו של התחום החוקתי, </w:t>
      </w:r>
      <w:r w:rsidR="006D31EA" w:rsidRPr="00106D3A">
        <w:rPr>
          <w:rFonts w:hint="cs"/>
          <w:sz w:val="24"/>
          <w:rtl/>
        </w:rPr>
        <w:t xml:space="preserve">ראוי ליצור מנגנון שיבטיח עדכון אוטומטי ליועץ המשפטי בכל מקרה בו נדונה שאלה של תוקף חוקתי בערכאות הדיון </w:t>
      </w:r>
      <w:r w:rsidR="006D31EA" w:rsidRPr="00106D3A">
        <w:rPr>
          <w:sz w:val="24"/>
          <w:rtl/>
        </w:rPr>
        <w:t>–</w:t>
      </w:r>
      <w:r w:rsidR="006D31EA" w:rsidRPr="00106D3A">
        <w:rPr>
          <w:rFonts w:hint="cs"/>
          <w:sz w:val="24"/>
          <w:rtl/>
        </w:rPr>
        <w:t xml:space="preserve"> כך שיוכל להפעיל את שיקול דעתו באופן מלא </w:t>
      </w:r>
      <w:r w:rsidR="005C04CE" w:rsidRPr="00106D3A">
        <w:rPr>
          <w:rFonts w:hint="cs"/>
          <w:sz w:val="24"/>
          <w:rtl/>
        </w:rPr>
        <w:t xml:space="preserve">האם להתייצב בהליך, </w:t>
      </w:r>
      <w:r w:rsidR="006D31EA" w:rsidRPr="00106D3A">
        <w:rPr>
          <w:rFonts w:hint="cs"/>
          <w:sz w:val="24"/>
          <w:rtl/>
        </w:rPr>
        <w:t xml:space="preserve">ולא יחמיץ </w:t>
      </w:r>
      <w:r w:rsidR="000218D4" w:rsidRPr="00106D3A">
        <w:rPr>
          <w:rFonts w:hint="cs"/>
          <w:sz w:val="24"/>
          <w:rtl/>
        </w:rPr>
        <w:t xml:space="preserve">תיקים </w:t>
      </w:r>
      <w:r w:rsidR="006D31EA" w:rsidRPr="00106D3A">
        <w:rPr>
          <w:rFonts w:hint="cs"/>
          <w:sz w:val="24"/>
          <w:rtl/>
        </w:rPr>
        <w:t>בעלי עניין לציבור.</w:t>
      </w:r>
      <w:r w:rsidR="00F23AE5" w:rsidRPr="00106D3A">
        <w:rPr>
          <w:rStyle w:val="FootnoteReference"/>
          <w:sz w:val="24"/>
          <w:rtl/>
        </w:rPr>
        <w:footnoteReference w:id="157"/>
      </w:r>
      <w:r w:rsidR="006D31EA" w:rsidRPr="00106D3A">
        <w:rPr>
          <w:rFonts w:hint="cs"/>
          <w:sz w:val="24"/>
          <w:rtl/>
        </w:rPr>
        <w:t xml:space="preserve"> </w:t>
      </w:r>
    </w:p>
    <w:p w:rsidR="000571EB" w:rsidRPr="00106D3A" w:rsidRDefault="00E40734" w:rsidP="008D1836">
      <w:pPr>
        <w:ind w:firstLine="720"/>
        <w:jc w:val="both"/>
        <w:rPr>
          <w:sz w:val="24"/>
          <w:rtl/>
        </w:rPr>
      </w:pPr>
      <w:r w:rsidRPr="00106D3A">
        <w:rPr>
          <w:rFonts w:hint="cs"/>
          <w:sz w:val="24"/>
          <w:rtl/>
        </w:rPr>
        <w:t xml:space="preserve">"שחקנית" </w:t>
      </w:r>
      <w:r w:rsidR="00361E01" w:rsidRPr="00106D3A">
        <w:rPr>
          <w:rFonts w:hint="cs"/>
          <w:sz w:val="24"/>
          <w:rtl/>
        </w:rPr>
        <w:t xml:space="preserve">חדשה יותר </w:t>
      </w:r>
      <w:r w:rsidRPr="00106D3A">
        <w:rPr>
          <w:rFonts w:hint="cs"/>
          <w:sz w:val="24"/>
          <w:rtl/>
        </w:rPr>
        <w:t xml:space="preserve">בתחום הליטיגציה החוקתית, לגביה אף נקבע בחקיקה כי יש להזמינה להתדיינות משפטית בשאלות של תוקף חוקתי של חקיקה ראשית, היא הרשות המחוקקת עצמה. </w:t>
      </w:r>
      <w:r w:rsidR="00B0728E" w:rsidRPr="00106D3A">
        <w:rPr>
          <w:rFonts w:hint="cs"/>
          <w:sz w:val="24"/>
          <w:rtl/>
        </w:rPr>
        <w:t>סעיף 17(ג1) לחוק הכנסת</w:t>
      </w:r>
      <w:r w:rsidR="0051764C" w:rsidRPr="00106D3A">
        <w:rPr>
          <w:rFonts w:hint="cs"/>
          <w:sz w:val="24"/>
          <w:rtl/>
        </w:rPr>
        <w:t xml:space="preserve">, שנוסף בשנת 2008, </w:t>
      </w:r>
      <w:r w:rsidR="00C773EC" w:rsidRPr="00106D3A">
        <w:rPr>
          <w:rFonts w:hint="cs"/>
          <w:sz w:val="24"/>
          <w:rtl/>
        </w:rPr>
        <w:t xml:space="preserve">קובע שבית משפט המוצא כי </w:t>
      </w:r>
      <w:r w:rsidR="00AD6ED6">
        <w:rPr>
          <w:rFonts w:hint="cs"/>
          <w:sz w:val="24"/>
          <w:rtl/>
        </w:rPr>
        <w:t xml:space="preserve">הוא "נדרש </w:t>
      </w:r>
      <w:r w:rsidR="00C773EC" w:rsidRPr="00106D3A">
        <w:rPr>
          <w:sz w:val="24"/>
          <w:rtl/>
        </w:rPr>
        <w:t>לברר את שאלת תוקפו של חוק, יזמין את הכנסת להתייצב בהליך, והיא תהיה רשאית להשמיע את טענותיה להוכחת תוקפו</w:t>
      </w:r>
      <w:r w:rsidR="00C773EC" w:rsidRPr="00106D3A">
        <w:rPr>
          <w:rFonts w:hint="cs"/>
          <w:sz w:val="24"/>
          <w:rtl/>
        </w:rPr>
        <w:t>".</w:t>
      </w:r>
      <w:r w:rsidR="00DA661E" w:rsidRPr="00106D3A">
        <w:rPr>
          <w:rStyle w:val="FootnoteReference"/>
          <w:sz w:val="24"/>
          <w:rtl/>
        </w:rPr>
        <w:footnoteReference w:id="158"/>
      </w:r>
      <w:r w:rsidR="00C773EC" w:rsidRPr="00106D3A">
        <w:rPr>
          <w:rFonts w:hint="cs"/>
          <w:sz w:val="24"/>
          <w:rtl/>
        </w:rPr>
        <w:t xml:space="preserve"> </w:t>
      </w:r>
      <w:r w:rsidR="00333451" w:rsidRPr="00106D3A">
        <w:rPr>
          <w:rFonts w:hint="cs"/>
          <w:sz w:val="24"/>
          <w:rtl/>
        </w:rPr>
        <w:t>מדברי ההסבר להצעת החוק,</w:t>
      </w:r>
      <w:r w:rsidR="00D8150C" w:rsidRPr="00106D3A">
        <w:rPr>
          <w:rStyle w:val="FootnoteReference"/>
          <w:sz w:val="24"/>
          <w:rtl/>
        </w:rPr>
        <w:footnoteReference w:id="159"/>
      </w:r>
      <w:r w:rsidR="00333451" w:rsidRPr="00106D3A">
        <w:rPr>
          <w:rFonts w:hint="cs"/>
          <w:sz w:val="24"/>
          <w:rtl/>
        </w:rPr>
        <w:t xml:space="preserve"> </w:t>
      </w:r>
      <w:r w:rsidR="000E5895" w:rsidRPr="00106D3A">
        <w:rPr>
          <w:rFonts w:hint="cs"/>
          <w:sz w:val="24"/>
          <w:rtl/>
        </w:rPr>
        <w:t>ו</w:t>
      </w:r>
      <w:r w:rsidR="00D8150C" w:rsidRPr="00106D3A">
        <w:rPr>
          <w:rFonts w:hint="cs"/>
          <w:sz w:val="24"/>
          <w:rtl/>
        </w:rPr>
        <w:t>מתיאור הרקע הפוליטי שקדם לחקיקתו</w:t>
      </w:r>
      <w:r w:rsidR="00682743" w:rsidRPr="00106D3A">
        <w:rPr>
          <w:rFonts w:hint="cs"/>
          <w:sz w:val="24"/>
          <w:rtl/>
        </w:rPr>
        <w:t>,</w:t>
      </w:r>
      <w:r w:rsidR="000D6312" w:rsidRPr="00106D3A">
        <w:rPr>
          <w:rStyle w:val="FootnoteReference"/>
          <w:sz w:val="24"/>
          <w:rtl/>
        </w:rPr>
        <w:footnoteReference w:id="160"/>
      </w:r>
      <w:r w:rsidR="00682743" w:rsidRPr="00106D3A">
        <w:rPr>
          <w:rFonts w:hint="cs"/>
          <w:sz w:val="24"/>
          <w:rtl/>
        </w:rPr>
        <w:t xml:space="preserve"> ניכר שהוא נוצר מתוך התפיסה (האופיינית) של הביקורת השיפוטית כאקט של בית המשפט העליון</w:t>
      </w:r>
      <w:r w:rsidR="003C2B30" w:rsidRPr="00106D3A">
        <w:rPr>
          <w:rFonts w:hint="cs"/>
          <w:sz w:val="24"/>
          <w:rtl/>
        </w:rPr>
        <w:t xml:space="preserve">, ונקודתית לאור פסיקות מסוימות של בג"ץ שעוררו את </w:t>
      </w:r>
      <w:proofErr w:type="spellStart"/>
      <w:r w:rsidR="003C2B30" w:rsidRPr="00106D3A">
        <w:rPr>
          <w:rFonts w:hint="cs"/>
          <w:sz w:val="24"/>
          <w:rtl/>
        </w:rPr>
        <w:t>ח</w:t>
      </w:r>
      <w:r w:rsidR="008E543B" w:rsidRPr="00106D3A">
        <w:rPr>
          <w:rFonts w:hint="cs"/>
          <w:sz w:val="24"/>
          <w:rtl/>
        </w:rPr>
        <w:t>י</w:t>
      </w:r>
      <w:r w:rsidR="003C2B30" w:rsidRPr="00106D3A">
        <w:rPr>
          <w:rFonts w:hint="cs"/>
          <w:sz w:val="24"/>
          <w:rtl/>
        </w:rPr>
        <w:t>מת</w:t>
      </w:r>
      <w:proofErr w:type="spellEnd"/>
      <w:r w:rsidR="003C2B30" w:rsidRPr="00106D3A">
        <w:rPr>
          <w:rFonts w:hint="cs"/>
          <w:sz w:val="24"/>
          <w:rtl/>
        </w:rPr>
        <w:t xml:space="preserve"> המחוקקים</w:t>
      </w:r>
      <w:r w:rsidR="00682743" w:rsidRPr="00106D3A">
        <w:rPr>
          <w:rFonts w:hint="cs"/>
          <w:sz w:val="24"/>
          <w:rtl/>
        </w:rPr>
        <w:t xml:space="preserve">. </w:t>
      </w:r>
      <w:r w:rsidR="00665E45" w:rsidRPr="00106D3A">
        <w:rPr>
          <w:rFonts w:hint="cs"/>
          <w:sz w:val="24"/>
          <w:rtl/>
        </w:rPr>
        <w:t xml:space="preserve">למרות זאת, </w:t>
      </w:r>
      <w:r w:rsidR="003C2B30" w:rsidRPr="00106D3A">
        <w:rPr>
          <w:rFonts w:hint="cs"/>
          <w:sz w:val="24"/>
          <w:rtl/>
        </w:rPr>
        <w:t>סעיף 17ג</w:t>
      </w:r>
      <w:r w:rsidR="000571EB" w:rsidRPr="00106D3A">
        <w:rPr>
          <w:rFonts w:hint="cs"/>
          <w:sz w:val="24"/>
          <w:rtl/>
        </w:rPr>
        <w:t>1</w:t>
      </w:r>
      <w:r w:rsidR="003C2B30" w:rsidRPr="00106D3A">
        <w:rPr>
          <w:rFonts w:hint="cs"/>
          <w:sz w:val="24"/>
          <w:rtl/>
        </w:rPr>
        <w:t xml:space="preserve"> מנוסח </w:t>
      </w:r>
      <w:r w:rsidR="00665E45" w:rsidRPr="00106D3A">
        <w:rPr>
          <w:rFonts w:hint="cs"/>
          <w:sz w:val="24"/>
          <w:rtl/>
        </w:rPr>
        <w:t>באופן כללי וחל לפי לשונו על כל "בית משפט"</w:t>
      </w:r>
      <w:r w:rsidR="00CF6BB9" w:rsidRPr="00106D3A">
        <w:rPr>
          <w:rFonts w:hint="cs"/>
          <w:sz w:val="24"/>
          <w:rtl/>
        </w:rPr>
        <w:t xml:space="preserve">. המשמעות היא שגם </w:t>
      </w:r>
      <w:r w:rsidR="005409E5" w:rsidRPr="00106D3A">
        <w:rPr>
          <w:rFonts w:hint="cs"/>
          <w:sz w:val="24"/>
          <w:rtl/>
        </w:rPr>
        <w:t>בית משפט שאינו בית המשפט העליון,</w:t>
      </w:r>
      <w:r w:rsidR="00CF6BB9" w:rsidRPr="00106D3A">
        <w:rPr>
          <w:rFonts w:hint="cs"/>
          <w:sz w:val="24"/>
          <w:rtl/>
        </w:rPr>
        <w:t xml:space="preserve"> ה</w:t>
      </w:r>
      <w:r w:rsidR="006969E3" w:rsidRPr="00106D3A">
        <w:rPr>
          <w:rFonts w:hint="cs"/>
          <w:sz w:val="24"/>
          <w:rtl/>
        </w:rPr>
        <w:t>שוקל לבצע ביקורת שיפוטית במסלול הביזורי</w:t>
      </w:r>
      <w:r w:rsidR="005409E5" w:rsidRPr="00106D3A">
        <w:rPr>
          <w:rFonts w:hint="cs"/>
          <w:sz w:val="24"/>
          <w:rtl/>
        </w:rPr>
        <w:t>, נדרש</w:t>
      </w:r>
      <w:r w:rsidR="006969E3" w:rsidRPr="00106D3A">
        <w:rPr>
          <w:rFonts w:hint="cs"/>
          <w:sz w:val="24"/>
          <w:rtl/>
        </w:rPr>
        <w:t xml:space="preserve"> לאפשר לכנסת </w:t>
      </w:r>
      <w:r w:rsidR="008E543B" w:rsidRPr="00106D3A">
        <w:rPr>
          <w:rFonts w:hint="cs"/>
          <w:sz w:val="24"/>
          <w:rtl/>
        </w:rPr>
        <w:t xml:space="preserve">לטעון לתוקפו של </w:t>
      </w:r>
      <w:r w:rsidR="006969E3" w:rsidRPr="00106D3A">
        <w:rPr>
          <w:rFonts w:hint="cs"/>
          <w:sz w:val="24"/>
          <w:rtl/>
        </w:rPr>
        <w:t>החוק</w:t>
      </w:r>
      <w:r w:rsidR="008E543B" w:rsidRPr="00106D3A">
        <w:rPr>
          <w:rFonts w:hint="cs"/>
          <w:sz w:val="24"/>
          <w:rtl/>
        </w:rPr>
        <w:t xml:space="preserve">. </w:t>
      </w:r>
    </w:p>
    <w:p w:rsidR="00F6366B" w:rsidRPr="00106D3A" w:rsidRDefault="000571EB" w:rsidP="003D5421">
      <w:pPr>
        <w:ind w:firstLine="720"/>
        <w:jc w:val="both"/>
        <w:rPr>
          <w:sz w:val="24"/>
          <w:rtl/>
        </w:rPr>
      </w:pPr>
      <w:r w:rsidRPr="00106D3A">
        <w:rPr>
          <w:rFonts w:hint="cs"/>
          <w:sz w:val="24"/>
          <w:rtl/>
        </w:rPr>
        <w:t xml:space="preserve">מי אמור </w:t>
      </w:r>
      <w:r w:rsidR="003D5421">
        <w:rPr>
          <w:rFonts w:hint="cs"/>
          <w:sz w:val="24"/>
          <w:rtl/>
        </w:rPr>
        <w:t>לצרף</w:t>
      </w:r>
      <w:r w:rsidRPr="00106D3A">
        <w:rPr>
          <w:rFonts w:hint="cs"/>
          <w:sz w:val="24"/>
          <w:rtl/>
        </w:rPr>
        <w:t xml:space="preserve"> את הכנסת בפועל להליך? לפי לשונו, נראה שסעיף 17ג1 מטיל את האחריות והיוזמה בעניין זה על בית המשפט עצמו, משמצא שמונחת לפני שאלה חוקתית המצריכה הכרעה. עם זאת,</w:t>
      </w:r>
      <w:r w:rsidR="00FB7561" w:rsidRPr="00106D3A">
        <w:rPr>
          <w:rFonts w:hint="cs"/>
          <w:sz w:val="24"/>
          <w:rtl/>
        </w:rPr>
        <w:t xml:space="preserve"> בהידרשו</w:t>
      </w:r>
      <w:r w:rsidR="00A5691C" w:rsidRPr="00106D3A">
        <w:rPr>
          <w:rFonts w:hint="cs"/>
          <w:sz w:val="24"/>
          <w:rtl/>
        </w:rPr>
        <w:t xml:space="preserve"> לשאלה באופן אגבי</w:t>
      </w:r>
      <w:r w:rsidR="004D1146" w:rsidRPr="00106D3A">
        <w:rPr>
          <w:rFonts w:hint="cs"/>
          <w:sz w:val="24"/>
          <w:rtl/>
        </w:rPr>
        <w:t xml:space="preserve"> בעניין </w:t>
      </w:r>
      <w:r w:rsidR="004D1146" w:rsidRPr="00106D3A">
        <w:rPr>
          <w:rFonts w:hint="cs"/>
          <w:b/>
          <w:bCs/>
          <w:sz w:val="24"/>
          <w:rtl/>
        </w:rPr>
        <w:t>בהט</w:t>
      </w:r>
      <w:r w:rsidR="00A5691C" w:rsidRPr="00106D3A">
        <w:rPr>
          <w:rFonts w:hint="cs"/>
          <w:sz w:val="24"/>
          <w:rtl/>
        </w:rPr>
        <w:t xml:space="preserve">, </w:t>
      </w:r>
      <w:r w:rsidR="005B1976" w:rsidRPr="00106D3A">
        <w:rPr>
          <w:rFonts w:hint="cs"/>
          <w:sz w:val="24"/>
          <w:rtl/>
        </w:rPr>
        <w:t>בית המשפט העליון קבע ש</w:t>
      </w:r>
      <w:r w:rsidR="00A5691C" w:rsidRPr="00106D3A">
        <w:rPr>
          <w:rFonts w:hint="cs"/>
          <w:sz w:val="24"/>
          <w:rtl/>
        </w:rPr>
        <w:t xml:space="preserve">לפחות </w:t>
      </w:r>
      <w:r w:rsidR="005B1976" w:rsidRPr="00106D3A">
        <w:rPr>
          <w:rFonts w:hint="cs"/>
          <w:sz w:val="24"/>
          <w:rtl/>
        </w:rPr>
        <w:t>בתקיפות חוקתיות ישירות</w:t>
      </w:r>
      <w:r w:rsidR="00A5691C" w:rsidRPr="00106D3A">
        <w:rPr>
          <w:rFonts w:hint="cs"/>
          <w:sz w:val="24"/>
          <w:rtl/>
        </w:rPr>
        <w:t xml:space="preserve"> מוטל על העותר הנטל לכלול את הכנסת בין המשיבים לעתירה.</w:t>
      </w:r>
      <w:r w:rsidR="007C52C3" w:rsidRPr="00106D3A">
        <w:rPr>
          <w:rStyle w:val="FootnoteReference"/>
          <w:sz w:val="24"/>
          <w:rtl/>
        </w:rPr>
        <w:footnoteReference w:id="161"/>
      </w:r>
      <w:r w:rsidR="00A5691C" w:rsidRPr="00106D3A">
        <w:rPr>
          <w:rFonts w:hint="cs"/>
          <w:sz w:val="24"/>
          <w:rtl/>
        </w:rPr>
        <w:t xml:space="preserve"> </w:t>
      </w:r>
      <w:r w:rsidR="007C52C3" w:rsidRPr="00106D3A">
        <w:rPr>
          <w:rFonts w:hint="cs"/>
          <w:sz w:val="24"/>
          <w:rtl/>
        </w:rPr>
        <w:t xml:space="preserve">אף </w:t>
      </w:r>
      <w:r w:rsidR="00EA4C99" w:rsidRPr="00106D3A">
        <w:rPr>
          <w:rFonts w:hint="cs"/>
          <w:sz w:val="24"/>
          <w:rtl/>
        </w:rPr>
        <w:t>שלא נקבעה הלכה באותו מקרה</w:t>
      </w:r>
      <w:r w:rsidR="007C52C3" w:rsidRPr="00106D3A">
        <w:rPr>
          <w:rFonts w:hint="cs"/>
          <w:sz w:val="24"/>
          <w:rtl/>
        </w:rPr>
        <w:t xml:space="preserve">, בית המשפט העליון </w:t>
      </w:r>
      <w:r w:rsidR="00516D19" w:rsidRPr="00106D3A">
        <w:rPr>
          <w:rFonts w:hint="cs"/>
          <w:sz w:val="24"/>
          <w:rtl/>
        </w:rPr>
        <w:t>ה</w:t>
      </w:r>
      <w:r w:rsidR="007C52C3" w:rsidRPr="00106D3A">
        <w:rPr>
          <w:rFonts w:hint="cs"/>
          <w:sz w:val="24"/>
          <w:rtl/>
        </w:rPr>
        <w:t xml:space="preserve">תייחס </w:t>
      </w:r>
      <w:r w:rsidR="00FB7561" w:rsidRPr="00106D3A">
        <w:rPr>
          <w:rFonts w:hint="cs"/>
          <w:sz w:val="24"/>
          <w:rtl/>
        </w:rPr>
        <w:t xml:space="preserve">לאי-צירוף הכנסת כמשיבה בתקיפה חוקתית ישירה כעילת-סף שעשויה למנוע </w:t>
      </w:r>
      <w:r w:rsidR="007C52C3" w:rsidRPr="00106D3A">
        <w:rPr>
          <w:rFonts w:hint="cs"/>
          <w:sz w:val="24"/>
          <w:rtl/>
        </w:rPr>
        <w:t>בירור</w:t>
      </w:r>
      <w:r w:rsidR="00516D19" w:rsidRPr="00106D3A">
        <w:rPr>
          <w:rFonts w:hint="cs"/>
          <w:sz w:val="24"/>
          <w:rtl/>
        </w:rPr>
        <w:t xml:space="preserve"> </w:t>
      </w:r>
      <w:r w:rsidR="00FB7561" w:rsidRPr="00106D3A">
        <w:rPr>
          <w:rFonts w:hint="cs"/>
          <w:sz w:val="24"/>
          <w:rtl/>
        </w:rPr>
        <w:t xml:space="preserve">של </w:t>
      </w:r>
      <w:r w:rsidR="00516D19" w:rsidRPr="00106D3A">
        <w:rPr>
          <w:rFonts w:hint="cs"/>
          <w:sz w:val="24"/>
          <w:rtl/>
        </w:rPr>
        <w:t xml:space="preserve">הטענה </w:t>
      </w:r>
      <w:r w:rsidR="00DA1C96" w:rsidRPr="00106D3A">
        <w:rPr>
          <w:rFonts w:hint="cs"/>
          <w:sz w:val="24"/>
          <w:rtl/>
        </w:rPr>
        <w:t xml:space="preserve">החוקתית </w:t>
      </w:r>
      <w:r w:rsidR="00516D19" w:rsidRPr="00106D3A">
        <w:rPr>
          <w:rFonts w:hint="cs"/>
          <w:sz w:val="24"/>
          <w:rtl/>
        </w:rPr>
        <w:t>המהותית</w:t>
      </w:r>
      <w:r w:rsidR="007C52C3" w:rsidRPr="00106D3A">
        <w:rPr>
          <w:rFonts w:hint="cs"/>
          <w:sz w:val="24"/>
          <w:rtl/>
        </w:rPr>
        <w:t>.</w:t>
      </w:r>
      <w:bookmarkStart w:id="53" w:name="_Ref373312301"/>
      <w:r w:rsidR="00635CB9">
        <w:rPr>
          <w:rStyle w:val="FootnoteReference"/>
          <w:sz w:val="24"/>
          <w:rtl/>
        </w:rPr>
        <w:footnoteReference w:id="162"/>
      </w:r>
      <w:bookmarkEnd w:id="53"/>
      <w:r w:rsidR="007C52C3" w:rsidRPr="00106D3A">
        <w:rPr>
          <w:rFonts w:hint="cs"/>
          <w:sz w:val="24"/>
          <w:rtl/>
        </w:rPr>
        <w:t xml:space="preserve"> ב</w:t>
      </w:r>
      <w:r w:rsidR="00C2137C" w:rsidRPr="00106D3A">
        <w:rPr>
          <w:rFonts w:hint="cs"/>
          <w:sz w:val="24"/>
          <w:rtl/>
        </w:rPr>
        <w:t>מסלולי ה</w:t>
      </w:r>
      <w:r w:rsidR="007C52C3" w:rsidRPr="00106D3A">
        <w:rPr>
          <w:rFonts w:hint="cs"/>
          <w:sz w:val="24"/>
          <w:rtl/>
        </w:rPr>
        <w:t xml:space="preserve">תקיפה </w:t>
      </w:r>
      <w:r w:rsidR="00C2137C" w:rsidRPr="00106D3A">
        <w:rPr>
          <w:rFonts w:hint="cs"/>
          <w:sz w:val="24"/>
          <w:rtl/>
        </w:rPr>
        <w:t>ה</w:t>
      </w:r>
      <w:r w:rsidR="007C52C3" w:rsidRPr="00106D3A">
        <w:rPr>
          <w:rFonts w:hint="cs"/>
          <w:sz w:val="24"/>
          <w:rtl/>
        </w:rPr>
        <w:t xml:space="preserve">עקיפה </w:t>
      </w:r>
      <w:r w:rsidR="00C2137C" w:rsidRPr="00106D3A">
        <w:rPr>
          <w:rFonts w:hint="cs"/>
          <w:sz w:val="24"/>
          <w:rtl/>
        </w:rPr>
        <w:t xml:space="preserve">העניין מעט מורכב יותר: </w:t>
      </w:r>
      <w:r w:rsidR="00516D19" w:rsidRPr="00106D3A">
        <w:rPr>
          <w:rFonts w:hint="cs"/>
          <w:sz w:val="24"/>
          <w:rtl/>
        </w:rPr>
        <w:t xml:space="preserve">בתקיפה עקיפה הגנתית </w:t>
      </w:r>
      <w:r w:rsidR="00516D19" w:rsidRPr="00106D3A">
        <w:rPr>
          <w:sz w:val="24"/>
          <w:rtl/>
        </w:rPr>
        <w:t>–</w:t>
      </w:r>
      <w:r w:rsidR="00516D19" w:rsidRPr="00106D3A">
        <w:rPr>
          <w:rFonts w:hint="cs"/>
          <w:sz w:val="24"/>
          <w:rtl/>
        </w:rPr>
        <w:t xml:space="preserve"> שהיא ההליך הטיפוסי לביקורת שיפוטית ביזורית </w:t>
      </w:r>
      <w:r w:rsidR="00C66DD0" w:rsidRPr="00106D3A">
        <w:rPr>
          <w:sz w:val="24"/>
          <w:rtl/>
        </w:rPr>
        <w:t>–</w:t>
      </w:r>
      <w:r w:rsidR="00516D19" w:rsidRPr="00106D3A">
        <w:rPr>
          <w:rFonts w:hint="cs"/>
          <w:sz w:val="24"/>
          <w:rtl/>
        </w:rPr>
        <w:t xml:space="preserve"> </w:t>
      </w:r>
      <w:r w:rsidR="00C66DD0" w:rsidRPr="00106D3A">
        <w:rPr>
          <w:rFonts w:hint="cs"/>
          <w:sz w:val="24"/>
          <w:rtl/>
        </w:rPr>
        <w:t xml:space="preserve">נראה שיהיה זה תפקידו של בית המשפט ליזום את הזמנת הכנסת, </w:t>
      </w:r>
      <w:r w:rsidR="00933B18" w:rsidRPr="00106D3A">
        <w:rPr>
          <w:rFonts w:hint="cs"/>
          <w:sz w:val="24"/>
          <w:rtl/>
        </w:rPr>
        <w:t xml:space="preserve">ולא ניתן </w:t>
      </w:r>
      <w:r w:rsidR="00152496" w:rsidRPr="00106D3A">
        <w:rPr>
          <w:rFonts w:hint="cs"/>
          <w:sz w:val="24"/>
          <w:rtl/>
        </w:rPr>
        <w:t>לדרוש</w:t>
      </w:r>
      <w:r w:rsidR="008C3F32" w:rsidRPr="00106D3A">
        <w:rPr>
          <w:rFonts w:hint="cs"/>
          <w:sz w:val="24"/>
          <w:rtl/>
        </w:rPr>
        <w:t xml:space="preserve"> זאת </w:t>
      </w:r>
      <w:r w:rsidR="00933B18" w:rsidRPr="00106D3A">
        <w:rPr>
          <w:rFonts w:hint="cs"/>
          <w:sz w:val="24"/>
          <w:rtl/>
        </w:rPr>
        <w:t xml:space="preserve">מהנאשם (בהליך פלילי) או מהנתבע או המשיב (בהליך האזרחי), שכן לאלה אין </w:t>
      </w:r>
      <w:r w:rsidR="001245D6" w:rsidRPr="00106D3A">
        <w:rPr>
          <w:rFonts w:hint="cs"/>
          <w:sz w:val="24"/>
          <w:rtl/>
        </w:rPr>
        <w:t xml:space="preserve">ככלל </w:t>
      </w:r>
      <w:r w:rsidR="00933B18" w:rsidRPr="00106D3A">
        <w:rPr>
          <w:rFonts w:hint="cs"/>
          <w:sz w:val="24"/>
          <w:rtl/>
        </w:rPr>
        <w:t xml:space="preserve">סמכות </w:t>
      </w:r>
      <w:r w:rsidR="00E77097" w:rsidRPr="00106D3A">
        <w:rPr>
          <w:rFonts w:hint="cs"/>
          <w:sz w:val="24"/>
          <w:rtl/>
        </w:rPr>
        <w:t xml:space="preserve">או הזדמנות </w:t>
      </w:r>
      <w:r w:rsidR="00933B18" w:rsidRPr="00106D3A">
        <w:rPr>
          <w:rFonts w:hint="cs"/>
          <w:sz w:val="24"/>
          <w:rtl/>
        </w:rPr>
        <w:t>להוסיף בעלי דין.</w:t>
      </w:r>
      <w:r w:rsidR="00E77097" w:rsidRPr="00106D3A">
        <w:rPr>
          <w:rStyle w:val="FootnoteReference"/>
          <w:sz w:val="24"/>
          <w:rtl/>
        </w:rPr>
        <w:footnoteReference w:id="163"/>
      </w:r>
      <w:r w:rsidR="00933B18" w:rsidRPr="00106D3A">
        <w:rPr>
          <w:rFonts w:hint="cs"/>
          <w:sz w:val="24"/>
          <w:rtl/>
        </w:rPr>
        <w:t xml:space="preserve"> </w:t>
      </w:r>
      <w:r w:rsidR="004D1146" w:rsidRPr="00106D3A">
        <w:rPr>
          <w:rFonts w:hint="cs"/>
          <w:sz w:val="24"/>
          <w:rtl/>
        </w:rPr>
        <w:t xml:space="preserve">תקיפה עקיפה </w:t>
      </w:r>
      <w:r w:rsidR="004D1146" w:rsidRPr="00106D3A">
        <w:rPr>
          <w:rFonts w:hint="cs"/>
          <w:sz w:val="24"/>
          <w:rtl/>
        </w:rPr>
        <w:lastRenderedPageBreak/>
        <w:t>התקפית היא מקרה ביניים</w:t>
      </w:r>
      <w:r w:rsidR="004E46D8" w:rsidRPr="00106D3A">
        <w:rPr>
          <w:rFonts w:hint="cs"/>
          <w:sz w:val="24"/>
          <w:rtl/>
        </w:rPr>
        <w:t xml:space="preserve">, שכן הטענה החוקתית מועלית על ידי יוזם ההליך, וניתן לכן לכאורה </w:t>
      </w:r>
      <w:r w:rsidR="006E362E" w:rsidRPr="00106D3A">
        <w:rPr>
          <w:rFonts w:hint="cs"/>
          <w:sz w:val="24"/>
          <w:rtl/>
        </w:rPr>
        <w:t xml:space="preserve">לצפות </w:t>
      </w:r>
      <w:r w:rsidR="004E46D8" w:rsidRPr="00106D3A">
        <w:rPr>
          <w:rFonts w:hint="cs"/>
          <w:sz w:val="24"/>
          <w:rtl/>
        </w:rPr>
        <w:t xml:space="preserve">ממנו </w:t>
      </w:r>
      <w:r w:rsidR="006E362E" w:rsidRPr="00106D3A">
        <w:rPr>
          <w:rFonts w:hint="cs"/>
          <w:sz w:val="24"/>
          <w:rtl/>
        </w:rPr>
        <w:t xml:space="preserve">לצרף את </w:t>
      </w:r>
      <w:r w:rsidR="004E46D8" w:rsidRPr="00106D3A">
        <w:rPr>
          <w:rFonts w:hint="cs"/>
          <w:sz w:val="24"/>
          <w:rtl/>
        </w:rPr>
        <w:t xml:space="preserve">הכנסת בין משיביו. </w:t>
      </w:r>
      <w:r w:rsidR="006E362E" w:rsidRPr="00106D3A">
        <w:rPr>
          <w:rFonts w:hint="cs"/>
          <w:sz w:val="24"/>
          <w:rtl/>
        </w:rPr>
        <w:t>אך זהו הסדר בעייתי</w:t>
      </w:r>
      <w:r w:rsidR="00C20BBF" w:rsidRPr="00106D3A">
        <w:rPr>
          <w:rFonts w:hint="cs"/>
          <w:sz w:val="24"/>
          <w:rtl/>
        </w:rPr>
        <w:t>, שכן הטענה החוקתית במסלול זה אינה תמיד חשו</w:t>
      </w:r>
      <w:r w:rsidR="00AD6ED6">
        <w:rPr>
          <w:rFonts w:hint="cs"/>
          <w:sz w:val="24"/>
          <w:rtl/>
        </w:rPr>
        <w:t>פ</w:t>
      </w:r>
      <w:r w:rsidR="00C20BBF" w:rsidRPr="00106D3A">
        <w:rPr>
          <w:rFonts w:hint="cs"/>
          <w:sz w:val="24"/>
          <w:rtl/>
        </w:rPr>
        <w:t xml:space="preserve">ה בשלב ייזום ההליך </w:t>
      </w:r>
      <w:r w:rsidR="00C20BBF" w:rsidRPr="00106D3A">
        <w:rPr>
          <w:sz w:val="24"/>
          <w:rtl/>
        </w:rPr>
        <w:t>–</w:t>
      </w:r>
      <w:r w:rsidR="00C20BBF" w:rsidRPr="00106D3A">
        <w:rPr>
          <w:rFonts w:hint="cs"/>
          <w:sz w:val="24"/>
          <w:rtl/>
        </w:rPr>
        <w:t xml:space="preserve"> העלאתה עשויה להיות תלויה בין היתר בטענות ההגנה שמציגים הנתבעים ובמידת הסתמכותם על החקיקה השנויה במחלוקת. נראה אפוא שבכל סוגי התקיפה העקיפה, ראוי </w:t>
      </w:r>
      <w:r w:rsidR="000027C7" w:rsidRPr="00106D3A">
        <w:rPr>
          <w:rFonts w:hint="cs"/>
          <w:sz w:val="24"/>
          <w:rtl/>
        </w:rPr>
        <w:t xml:space="preserve">שהכנסת תזומן להליך הביזורי ביוזמת בית המשפט עצמו. </w:t>
      </w:r>
    </w:p>
    <w:p w:rsidR="00E40734" w:rsidRPr="00106D3A" w:rsidRDefault="003B3C56" w:rsidP="0005159D">
      <w:pPr>
        <w:ind w:firstLine="720"/>
        <w:jc w:val="both"/>
        <w:rPr>
          <w:sz w:val="24"/>
          <w:rtl/>
        </w:rPr>
      </w:pPr>
      <w:r>
        <w:rPr>
          <w:rFonts w:hint="cs"/>
          <w:sz w:val="24"/>
          <w:rtl/>
        </w:rPr>
        <w:t>בפועל, למרות שמאז 2008 התעוררו בערכאות הדיון שאלות חוקתיות שהצריכו הכרעה מהותית,</w:t>
      </w:r>
      <w:r w:rsidR="005732E2">
        <w:rPr>
          <w:rStyle w:val="FootnoteReference"/>
          <w:sz w:val="24"/>
          <w:rtl/>
        </w:rPr>
        <w:footnoteReference w:id="164"/>
      </w:r>
      <w:r>
        <w:rPr>
          <w:rFonts w:hint="cs"/>
          <w:sz w:val="24"/>
          <w:rtl/>
        </w:rPr>
        <w:t xml:space="preserve"> הכנסת </w:t>
      </w:r>
      <w:r w:rsidR="0005159D">
        <w:rPr>
          <w:rFonts w:hint="cs"/>
          <w:sz w:val="24"/>
          <w:rtl/>
        </w:rPr>
        <w:t xml:space="preserve">כמעט אף פעם אינה מזומנת </w:t>
      </w:r>
      <w:r w:rsidR="002762BC">
        <w:rPr>
          <w:rFonts w:hint="cs"/>
          <w:sz w:val="24"/>
          <w:rtl/>
        </w:rPr>
        <w:t>להופיע בהליכים אלה</w:t>
      </w:r>
      <w:r w:rsidR="002762BC">
        <w:rPr>
          <w:rStyle w:val="FootnoteReference"/>
          <w:sz w:val="24"/>
          <w:rtl/>
        </w:rPr>
        <w:footnoteReference w:id="165"/>
      </w:r>
      <w:r w:rsidR="002762BC">
        <w:rPr>
          <w:rFonts w:hint="cs"/>
          <w:sz w:val="24"/>
          <w:rtl/>
        </w:rPr>
        <w:t xml:space="preserve"> </w:t>
      </w:r>
      <w:r w:rsidR="002762BC">
        <w:rPr>
          <w:sz w:val="24"/>
          <w:rtl/>
        </w:rPr>
        <w:t>–</w:t>
      </w:r>
      <w:r w:rsidR="002762BC">
        <w:rPr>
          <w:rFonts w:hint="cs"/>
          <w:sz w:val="24"/>
          <w:rtl/>
        </w:rPr>
        <w:t xml:space="preserve"> לכאורה בניגוד להוראת החוק. אמת, זימון הכנסת להליכים אלה תעורר קושי מעשי: </w:t>
      </w:r>
      <w:r w:rsidR="006969E3" w:rsidRPr="00106D3A">
        <w:rPr>
          <w:rFonts w:hint="cs"/>
          <w:sz w:val="24"/>
          <w:rtl/>
        </w:rPr>
        <w:t>בניגוד ליועץ המשפטי לממשלה, לייעוץ המשפטי לכנסת אין מערכת ייצוג ענפה במחוזות השיפוט השונים</w:t>
      </w:r>
      <w:r w:rsidR="00B079B4" w:rsidRPr="00106D3A">
        <w:rPr>
          <w:rFonts w:hint="cs"/>
          <w:sz w:val="24"/>
          <w:rtl/>
        </w:rPr>
        <w:t xml:space="preserve">, כך שהתייצבות הכנסת בהליכים הביזוריים </w:t>
      </w:r>
      <w:r w:rsidR="002762BC">
        <w:rPr>
          <w:rFonts w:hint="cs"/>
          <w:sz w:val="24"/>
          <w:rtl/>
        </w:rPr>
        <w:t xml:space="preserve">תהיה </w:t>
      </w:r>
      <w:r w:rsidR="00B079B4" w:rsidRPr="00106D3A">
        <w:rPr>
          <w:rFonts w:hint="cs"/>
          <w:sz w:val="24"/>
          <w:rtl/>
        </w:rPr>
        <w:t>אתגר מוסדי משמעותי, שיהיה צורך לתת לו את הדעת.</w:t>
      </w:r>
      <w:r w:rsidR="00CD1812" w:rsidRPr="00106D3A">
        <w:rPr>
          <w:rStyle w:val="FootnoteReference"/>
          <w:sz w:val="24"/>
          <w:rtl/>
        </w:rPr>
        <w:footnoteReference w:id="166"/>
      </w:r>
      <w:r w:rsidR="00B079B4" w:rsidRPr="00106D3A">
        <w:rPr>
          <w:rFonts w:hint="cs"/>
          <w:sz w:val="24"/>
          <w:rtl/>
        </w:rPr>
        <w:t xml:space="preserve"> כמובן, הכנסת (כמו המדינה) יכולה עדיין לבחור להתייצב רק בהליכים בעליון</w:t>
      </w:r>
      <w:r w:rsidR="00776D53" w:rsidRPr="00106D3A">
        <w:rPr>
          <w:rFonts w:hint="cs"/>
          <w:sz w:val="24"/>
          <w:rtl/>
        </w:rPr>
        <w:t xml:space="preserve">. </w:t>
      </w:r>
      <w:r w:rsidR="00B079B4" w:rsidRPr="00106D3A">
        <w:rPr>
          <w:rFonts w:hint="cs"/>
          <w:sz w:val="24"/>
          <w:rtl/>
        </w:rPr>
        <w:t xml:space="preserve">זו תהיה בחירה </w:t>
      </w:r>
      <w:r w:rsidR="00776D53" w:rsidRPr="00106D3A">
        <w:rPr>
          <w:rFonts w:hint="cs"/>
          <w:sz w:val="24"/>
          <w:rtl/>
        </w:rPr>
        <w:t xml:space="preserve">מובנת </w:t>
      </w:r>
      <w:r w:rsidR="00B079B4" w:rsidRPr="00106D3A">
        <w:rPr>
          <w:rFonts w:hint="cs"/>
          <w:sz w:val="24"/>
          <w:rtl/>
        </w:rPr>
        <w:t xml:space="preserve">מבחינה מוסדית, אך היא </w:t>
      </w:r>
      <w:r w:rsidR="00776D53" w:rsidRPr="00106D3A">
        <w:rPr>
          <w:rFonts w:hint="cs"/>
          <w:sz w:val="24"/>
          <w:rtl/>
        </w:rPr>
        <w:t xml:space="preserve">תשלול </w:t>
      </w:r>
      <w:r w:rsidR="00B079B4" w:rsidRPr="00106D3A">
        <w:rPr>
          <w:rFonts w:hint="cs"/>
          <w:sz w:val="24"/>
          <w:rtl/>
        </w:rPr>
        <w:t>חלק מהפוטנציאל הנדיר לשיח ישיר בין האזרח לבין בית הנבחרים שלו</w:t>
      </w:r>
      <w:r w:rsidR="00936459" w:rsidRPr="00106D3A">
        <w:rPr>
          <w:rFonts w:hint="cs"/>
          <w:sz w:val="24"/>
          <w:rtl/>
        </w:rPr>
        <w:t xml:space="preserve">, במסגרתו עשויים נציגי הכנסת להיחשף </w:t>
      </w:r>
      <w:r w:rsidR="00FA0BA3" w:rsidRPr="00106D3A">
        <w:rPr>
          <w:rFonts w:hint="cs"/>
          <w:sz w:val="24"/>
          <w:rtl/>
        </w:rPr>
        <w:t>לתוצאות המוחשיות של פועלה</w:t>
      </w:r>
      <w:r w:rsidR="00936459" w:rsidRPr="00106D3A">
        <w:rPr>
          <w:rFonts w:hint="cs"/>
          <w:sz w:val="24"/>
          <w:rtl/>
        </w:rPr>
        <w:t xml:space="preserve"> החקיקתי</w:t>
      </w:r>
      <w:r w:rsidR="00B079B4" w:rsidRPr="00106D3A">
        <w:rPr>
          <w:rFonts w:hint="cs"/>
          <w:sz w:val="24"/>
          <w:rtl/>
        </w:rPr>
        <w:t xml:space="preserve">. </w:t>
      </w:r>
    </w:p>
    <w:p w:rsidR="00B664C5" w:rsidRPr="00106D3A" w:rsidRDefault="00B664C5" w:rsidP="00B079B4">
      <w:pPr>
        <w:ind w:firstLine="720"/>
        <w:jc w:val="both"/>
        <w:rPr>
          <w:sz w:val="24"/>
          <w:rtl/>
        </w:rPr>
      </w:pPr>
    </w:p>
    <w:p w:rsidR="00DF6804" w:rsidRPr="00106D3A" w:rsidRDefault="006D0B13" w:rsidP="00AD201B">
      <w:pPr>
        <w:pStyle w:val="Heading1"/>
        <w:rPr>
          <w:rtl/>
        </w:rPr>
      </w:pPr>
      <w:bookmarkStart w:id="54" w:name="_Toc372223072"/>
      <w:r w:rsidRPr="00106D3A">
        <w:rPr>
          <w:rFonts w:hint="cs"/>
          <w:rtl/>
        </w:rPr>
        <w:t>סיכום</w:t>
      </w:r>
      <w:bookmarkEnd w:id="54"/>
    </w:p>
    <w:p w:rsidR="006D0B13" w:rsidRDefault="00BB3EE4" w:rsidP="008F35C5">
      <w:pPr>
        <w:ind w:firstLine="720"/>
        <w:jc w:val="both"/>
        <w:rPr>
          <w:sz w:val="24"/>
          <w:rtl/>
        </w:rPr>
      </w:pPr>
      <w:r w:rsidRPr="00106D3A">
        <w:rPr>
          <w:rFonts w:hint="cs"/>
          <w:sz w:val="24"/>
          <w:rtl/>
        </w:rPr>
        <w:t xml:space="preserve">השיטה החוקתית הישראלית היא מקרה ייחודי בנוף ההשוואתי. </w:t>
      </w:r>
      <w:r w:rsidR="006479BD" w:rsidRPr="00106D3A">
        <w:rPr>
          <w:rFonts w:hint="cs"/>
          <w:sz w:val="24"/>
          <w:rtl/>
        </w:rPr>
        <w:t xml:space="preserve">היא כוללת חוקה </w:t>
      </w:r>
      <w:r w:rsidR="00D7248C" w:rsidRPr="00106D3A">
        <w:rPr>
          <w:rFonts w:hint="cs"/>
          <w:sz w:val="24"/>
          <w:rtl/>
        </w:rPr>
        <w:t xml:space="preserve">שאינה שלמה ואינה </w:t>
      </w:r>
      <w:r w:rsidR="006479BD" w:rsidRPr="00106D3A">
        <w:rPr>
          <w:rFonts w:hint="cs"/>
          <w:sz w:val="24"/>
          <w:rtl/>
        </w:rPr>
        <w:t xml:space="preserve">קשיחה, </w:t>
      </w:r>
      <w:r w:rsidRPr="00106D3A">
        <w:rPr>
          <w:rFonts w:hint="cs"/>
          <w:sz w:val="24"/>
          <w:rtl/>
        </w:rPr>
        <w:t xml:space="preserve">היא מערבת רכיבים </w:t>
      </w:r>
      <w:r w:rsidR="006479BD" w:rsidRPr="00106D3A">
        <w:rPr>
          <w:rFonts w:hint="cs"/>
          <w:sz w:val="24"/>
          <w:rtl/>
        </w:rPr>
        <w:t xml:space="preserve">מוסדיים </w:t>
      </w:r>
      <w:r w:rsidR="00D7248C" w:rsidRPr="00106D3A">
        <w:rPr>
          <w:rFonts w:hint="cs"/>
          <w:sz w:val="24"/>
          <w:rtl/>
        </w:rPr>
        <w:t>היונקים מ</w:t>
      </w:r>
      <w:r w:rsidR="006479BD" w:rsidRPr="00106D3A">
        <w:rPr>
          <w:rFonts w:hint="cs"/>
          <w:sz w:val="24"/>
          <w:rtl/>
        </w:rPr>
        <w:t>מסורות חוקתיות שונות</w:t>
      </w:r>
      <w:r w:rsidRPr="00106D3A">
        <w:rPr>
          <w:rFonts w:hint="cs"/>
          <w:sz w:val="24"/>
          <w:rtl/>
        </w:rPr>
        <w:t xml:space="preserve">, היא נתונה </w:t>
      </w:r>
      <w:r w:rsidR="006479BD" w:rsidRPr="00106D3A">
        <w:rPr>
          <w:rFonts w:hint="cs"/>
          <w:sz w:val="24"/>
          <w:rtl/>
        </w:rPr>
        <w:t>למחלוקות עיקשות על הנחות היסוד</w:t>
      </w:r>
      <w:r w:rsidR="00862227" w:rsidRPr="00106D3A">
        <w:rPr>
          <w:rFonts w:hint="cs"/>
          <w:sz w:val="24"/>
          <w:rtl/>
        </w:rPr>
        <w:t xml:space="preserve"> שלה ועל הלגיטימיות של </w:t>
      </w:r>
      <w:r w:rsidR="008A7189" w:rsidRPr="00106D3A">
        <w:rPr>
          <w:rFonts w:hint="cs"/>
          <w:sz w:val="24"/>
          <w:rtl/>
        </w:rPr>
        <w:t xml:space="preserve">המהלכים שעיצבו אותה, ועם כל </w:t>
      </w:r>
      <w:r w:rsidR="00ED6A79" w:rsidRPr="00106D3A">
        <w:rPr>
          <w:rFonts w:hint="cs"/>
          <w:sz w:val="24"/>
          <w:rtl/>
        </w:rPr>
        <w:t xml:space="preserve">זה עלה בידה </w:t>
      </w:r>
      <w:r w:rsidR="0006135E" w:rsidRPr="00106D3A">
        <w:rPr>
          <w:rFonts w:hint="cs"/>
          <w:sz w:val="24"/>
          <w:rtl/>
        </w:rPr>
        <w:t>להתפתח ולהתבסס בשני העשורים האחרונים באופן מרשים.</w:t>
      </w:r>
      <w:r w:rsidR="00402622" w:rsidRPr="00106D3A">
        <w:rPr>
          <w:rFonts w:hint="cs"/>
          <w:sz w:val="24"/>
          <w:rtl/>
        </w:rPr>
        <w:t xml:space="preserve"> </w:t>
      </w:r>
      <w:r w:rsidR="00DF1FA3" w:rsidRPr="00106D3A">
        <w:rPr>
          <w:rFonts w:hint="cs"/>
          <w:sz w:val="24"/>
          <w:rtl/>
        </w:rPr>
        <w:t xml:space="preserve">אך הנושאים הבלתי-פתורים במערכת החוקתית הישראלית עדיין רבים, והסיכון שבהזנחתם </w:t>
      </w:r>
      <w:proofErr w:type="spellStart"/>
      <w:r w:rsidR="00DF1FA3" w:rsidRPr="00106D3A">
        <w:rPr>
          <w:rFonts w:hint="cs"/>
          <w:sz w:val="24"/>
          <w:rtl/>
        </w:rPr>
        <w:t>לדינמיקות</w:t>
      </w:r>
      <w:proofErr w:type="spellEnd"/>
      <w:r w:rsidR="00DF1FA3" w:rsidRPr="00106D3A">
        <w:rPr>
          <w:rFonts w:hint="cs"/>
          <w:sz w:val="24"/>
          <w:rtl/>
        </w:rPr>
        <w:t xml:space="preserve"> סטיכיות של תלות-במסלול הוא גדול. בהתחשב בכך</w:t>
      </w:r>
      <w:r w:rsidR="002154BF" w:rsidRPr="00106D3A">
        <w:rPr>
          <w:rFonts w:hint="cs"/>
          <w:sz w:val="24"/>
          <w:rtl/>
        </w:rPr>
        <w:t xml:space="preserve">, אלה </w:t>
      </w:r>
      <w:r w:rsidR="0090500F">
        <w:rPr>
          <w:rFonts w:hint="cs"/>
          <w:sz w:val="24"/>
          <w:rtl/>
        </w:rPr>
        <w:t xml:space="preserve">דווקא </w:t>
      </w:r>
      <w:r w:rsidR="002154BF" w:rsidRPr="00106D3A">
        <w:rPr>
          <w:rFonts w:hint="cs"/>
          <w:sz w:val="24"/>
          <w:rtl/>
        </w:rPr>
        <w:t xml:space="preserve">התומכים במודל העליונות החוקתית והביקורת השיפוטית המתעצב בישראל מאז "המהפכה החוקתית" של תחילת שנות ה-90, נדרשים כעת </w:t>
      </w:r>
      <w:r w:rsidR="00E84E23" w:rsidRPr="00106D3A">
        <w:rPr>
          <w:rFonts w:hint="cs"/>
          <w:sz w:val="24"/>
          <w:rtl/>
        </w:rPr>
        <w:t xml:space="preserve">להפעיל מחדש את </w:t>
      </w:r>
      <w:r w:rsidR="002154BF" w:rsidRPr="00106D3A">
        <w:rPr>
          <w:rFonts w:hint="cs"/>
          <w:sz w:val="24"/>
          <w:rtl/>
        </w:rPr>
        <w:t xml:space="preserve">הדמיון המוסדי, במטרה </w:t>
      </w:r>
      <w:r w:rsidR="00E84E23" w:rsidRPr="00106D3A">
        <w:rPr>
          <w:rFonts w:hint="cs"/>
          <w:sz w:val="24"/>
          <w:rtl/>
        </w:rPr>
        <w:t xml:space="preserve">להפוך </w:t>
      </w:r>
      <w:r w:rsidR="002154BF" w:rsidRPr="00106D3A">
        <w:rPr>
          <w:rFonts w:hint="cs"/>
          <w:sz w:val="24"/>
          <w:rtl/>
        </w:rPr>
        <w:t xml:space="preserve">ההסדר החוקתי הישראלי להוויה שלה שותפים </w:t>
      </w:r>
      <w:r w:rsidR="008F35C5">
        <w:rPr>
          <w:rFonts w:hint="cs"/>
          <w:sz w:val="24"/>
          <w:rtl/>
        </w:rPr>
        <w:t xml:space="preserve">כל </w:t>
      </w:r>
      <w:r w:rsidR="002154BF" w:rsidRPr="00106D3A">
        <w:rPr>
          <w:rFonts w:hint="cs"/>
          <w:sz w:val="24"/>
          <w:rtl/>
        </w:rPr>
        <w:t>אזרחי המדינה</w:t>
      </w:r>
      <w:r w:rsidR="008F35C5">
        <w:rPr>
          <w:rFonts w:hint="cs"/>
          <w:sz w:val="24"/>
          <w:rtl/>
        </w:rPr>
        <w:t xml:space="preserve"> ותושביה</w:t>
      </w:r>
      <w:r w:rsidR="002154BF" w:rsidRPr="00106D3A">
        <w:rPr>
          <w:rFonts w:hint="cs"/>
          <w:sz w:val="24"/>
          <w:rtl/>
        </w:rPr>
        <w:t xml:space="preserve">, ולא רק המעגלים המקצועיים והפוליטיים המעורבים בהפעלתו ובביקורת עליו. </w:t>
      </w:r>
      <w:r w:rsidR="00E84E23" w:rsidRPr="00106D3A">
        <w:rPr>
          <w:rFonts w:hint="cs"/>
          <w:sz w:val="24"/>
          <w:rtl/>
        </w:rPr>
        <w:t xml:space="preserve">ערכאות הדיון במערכת המשפט הישראלית נדמות כזירה מתבקשת </w:t>
      </w:r>
      <w:r w:rsidR="00906181" w:rsidRPr="00106D3A">
        <w:rPr>
          <w:rFonts w:hint="cs"/>
          <w:sz w:val="24"/>
          <w:rtl/>
        </w:rPr>
        <w:t xml:space="preserve">למיקום המהלך הזה, או </w:t>
      </w:r>
      <w:r w:rsidR="00E84E23" w:rsidRPr="00106D3A">
        <w:rPr>
          <w:rFonts w:hint="cs"/>
          <w:sz w:val="24"/>
          <w:rtl/>
        </w:rPr>
        <w:t xml:space="preserve">לפחות </w:t>
      </w:r>
      <w:r w:rsidR="00906181" w:rsidRPr="00106D3A">
        <w:rPr>
          <w:rFonts w:hint="cs"/>
          <w:sz w:val="24"/>
          <w:rtl/>
        </w:rPr>
        <w:t>חלקו.</w:t>
      </w:r>
      <w:r w:rsidR="00E84E23" w:rsidRPr="00106D3A">
        <w:rPr>
          <w:rFonts w:hint="cs"/>
          <w:sz w:val="24"/>
          <w:rtl/>
        </w:rPr>
        <w:t xml:space="preserve"> </w:t>
      </w:r>
      <w:r w:rsidR="00CB4F3D" w:rsidRPr="00106D3A">
        <w:rPr>
          <w:rFonts w:hint="cs"/>
          <w:sz w:val="24"/>
          <w:rtl/>
        </w:rPr>
        <w:t>סמכותן (הקיימת) לביקורת שיפוטית ביזורית היא מנגנון זמין ומתוחכם שיכול להוות בסיס לדמוקרטיזציה של ההליך החוקתי</w:t>
      </w:r>
      <w:r w:rsidR="002D1AAB" w:rsidRPr="00106D3A">
        <w:rPr>
          <w:rFonts w:hint="cs"/>
          <w:sz w:val="24"/>
          <w:rtl/>
        </w:rPr>
        <w:t xml:space="preserve">. למעשה, השינוי הנדרש הוא בעיקרו תפיסתי, ופחות מוסדי-נורמטיבי. </w:t>
      </w:r>
      <w:r w:rsidR="009A2DEE" w:rsidRPr="00106D3A">
        <w:rPr>
          <w:rFonts w:hint="cs"/>
          <w:sz w:val="24"/>
          <w:rtl/>
        </w:rPr>
        <w:t xml:space="preserve">ביקשתי במאמר זה להועיל בקידומו. </w:t>
      </w:r>
    </w:p>
    <w:p w:rsidR="00A64C3C" w:rsidRDefault="00A64C3C" w:rsidP="00295239">
      <w:pPr>
        <w:ind w:firstLine="720"/>
        <w:jc w:val="both"/>
        <w:rPr>
          <w:sz w:val="24"/>
          <w:rtl/>
        </w:rPr>
      </w:pPr>
    </w:p>
    <w:sectPr w:rsidR="00A64C3C" w:rsidSect="00F367D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4D" w:rsidRDefault="00772A4D" w:rsidP="008D3D0C">
      <w:pPr>
        <w:spacing w:after="0" w:line="240" w:lineRule="auto"/>
      </w:pPr>
      <w:r>
        <w:separator/>
      </w:r>
    </w:p>
  </w:endnote>
  <w:endnote w:type="continuationSeparator" w:id="0">
    <w:p w:rsidR="00772A4D" w:rsidRDefault="00772A4D" w:rsidP="008D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ew Century Schoolbook">
    <w:panose1 w:val="020406030507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4D" w:rsidRDefault="00772A4D" w:rsidP="008D3D0C">
      <w:pPr>
        <w:spacing w:after="0" w:line="240" w:lineRule="auto"/>
      </w:pPr>
      <w:r>
        <w:separator/>
      </w:r>
    </w:p>
  </w:footnote>
  <w:footnote w:type="continuationSeparator" w:id="0">
    <w:p w:rsidR="00772A4D" w:rsidRDefault="00772A4D" w:rsidP="008D3D0C">
      <w:pPr>
        <w:spacing w:after="0" w:line="240" w:lineRule="auto"/>
      </w:pPr>
      <w:r>
        <w:continuationSeparator/>
      </w:r>
    </w:p>
  </w:footnote>
  <w:footnote w:id="1">
    <w:p w:rsidR="009F0DE7" w:rsidRPr="00C07D61" w:rsidRDefault="009F0DE7" w:rsidP="00C976B6">
      <w:pPr>
        <w:pStyle w:val="FootnoteText"/>
        <w:spacing w:afterLines="40"/>
        <w:jc w:val="both"/>
      </w:pPr>
      <w:r w:rsidRPr="00C07D61">
        <w:rPr>
          <w:rStyle w:val="FootnoteReference"/>
          <w:rtl/>
        </w:rPr>
        <w:sym w:font="Symbol" w:char="F02A"/>
      </w:r>
      <w:r w:rsidRPr="00C07D61">
        <w:rPr>
          <w:rtl/>
        </w:rPr>
        <w:t xml:space="preserve"> </w:t>
      </w:r>
      <w:r w:rsidRPr="00C07D61">
        <w:rPr>
          <w:rFonts w:hint="cs"/>
          <w:rtl/>
        </w:rPr>
        <w:t>מרצה, הפקולטה למשפטים, אוניברסיטת בר-אילן</w:t>
      </w:r>
      <w:r w:rsidR="00C976B6">
        <w:rPr>
          <w:rFonts w:hint="cs"/>
          <w:rtl/>
        </w:rPr>
        <w:t>,</w:t>
      </w:r>
      <w:r w:rsidR="00AE5401">
        <w:rPr>
          <w:rFonts w:hint="cs"/>
          <w:rtl/>
        </w:rPr>
        <w:t xml:space="preserve"> </w:t>
      </w:r>
      <w:hyperlink r:id="rId1" w:history="1">
        <w:r w:rsidR="00AE5401" w:rsidRPr="00F057B4">
          <w:rPr>
            <w:rStyle w:val="Hyperlink"/>
          </w:rPr>
          <w:t>ori.aronson@biu.ac.il</w:t>
        </w:r>
      </w:hyperlink>
      <w:r w:rsidR="00AE5401">
        <w:rPr>
          <w:rFonts w:hint="cs"/>
          <w:rtl/>
        </w:rPr>
        <w:t>.</w:t>
      </w:r>
      <w:r w:rsidRPr="00C07D61">
        <w:rPr>
          <w:rFonts w:hint="cs"/>
          <w:rtl/>
        </w:rPr>
        <w:t xml:space="preserve"> תודה לחבריי אריא</w:t>
      </w:r>
      <w:r w:rsidR="00206B54">
        <w:rPr>
          <w:rFonts w:hint="cs"/>
          <w:rtl/>
        </w:rPr>
        <w:t>ל בנדור, ריבי וייל, שחר ליפשיץ ו</w:t>
      </w:r>
      <w:r w:rsidRPr="00C07D61">
        <w:rPr>
          <w:rFonts w:hint="cs"/>
          <w:rtl/>
        </w:rPr>
        <w:t xml:space="preserve">אדם שנער על הערותיהם. טיוטה של המאמר הוצגה בפורום שיתוף הפעולה בין בית המשפט העליון והאקדמיה הישראלית בספטמבר 2013. תודתי למשתתפי המפגש, ובמיוחד לשופט עוזי פוגלמן, על הערותיהם המועילות. תודה לדנה כהן ולדוד לסרי על עזרתם במחקר. </w:t>
      </w:r>
    </w:p>
  </w:footnote>
  <w:footnote w:id="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smallCaps/>
        </w:rPr>
        <w:t>Alexander M. Bickel, The Least Dangerous Branch: The Supreme Court at the Bar of Politics 16</w:t>
      </w:r>
      <w:r w:rsidRPr="00C07D61">
        <w:t xml:space="preserve"> (1962)</w:t>
      </w:r>
      <w:r w:rsidRPr="00C07D61">
        <w:rPr>
          <w:rFonts w:hint="cs"/>
          <w:rtl/>
        </w:rPr>
        <w:t>.</w:t>
      </w:r>
    </w:p>
  </w:footnote>
  <w:footnote w:id="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smallCaps/>
        </w:rPr>
        <w:t xml:space="preserve">Allan R. </w:t>
      </w:r>
      <w:proofErr w:type="gramStart"/>
      <w:r w:rsidRPr="00C07D61">
        <w:rPr>
          <w:smallCaps/>
        </w:rPr>
        <w:t>Brewer-</w:t>
      </w:r>
      <w:proofErr w:type="spellStart"/>
      <w:r w:rsidRPr="00C07D61">
        <w:rPr>
          <w:smallCaps/>
        </w:rPr>
        <w:t>Carías</w:t>
      </w:r>
      <w:proofErr w:type="spellEnd"/>
      <w:r w:rsidRPr="00C07D61">
        <w:rPr>
          <w:smallCaps/>
        </w:rPr>
        <w:t>, Judicial Review in Comparative Law</w:t>
      </w:r>
      <w:r w:rsidRPr="00C07D61">
        <w:t xml:space="preserve"> 127-35 (1989); </w:t>
      </w:r>
      <w:r w:rsidRPr="00C07D61">
        <w:rPr>
          <w:smallCaps/>
        </w:rPr>
        <w:t xml:space="preserve">Mauro </w:t>
      </w:r>
      <w:proofErr w:type="spellStart"/>
      <w:r w:rsidRPr="00C07D61">
        <w:rPr>
          <w:smallCaps/>
        </w:rPr>
        <w:t>Cappelletti</w:t>
      </w:r>
      <w:proofErr w:type="spellEnd"/>
      <w:r w:rsidRPr="00C07D61">
        <w:rPr>
          <w:smallCaps/>
        </w:rPr>
        <w:t>, The Judicial Process in Comparative Perspective</w:t>
      </w:r>
      <w:r w:rsidRPr="00C07D61">
        <w:t xml:space="preserve"> 133-35 (1989); Alec Stone Sweet, </w:t>
      </w:r>
      <w:r w:rsidRPr="00C07D61">
        <w:rPr>
          <w:i/>
          <w:iCs/>
        </w:rPr>
        <w:t>Why Europe Rejected American Judicial Review and Why It May Not Matter</w:t>
      </w:r>
      <w:r w:rsidRPr="00C07D61">
        <w:t>, 101 MICH.</w:t>
      </w:r>
      <w:proofErr w:type="gramEnd"/>
      <w:r w:rsidRPr="00C07D61">
        <w:t xml:space="preserve"> L. REV. 2744, 2770-71 (2003)</w:t>
      </w:r>
      <w:r w:rsidRPr="00C07D61">
        <w:rPr>
          <w:rFonts w:hint="cs"/>
          <w:rtl/>
        </w:rPr>
        <w:t>.</w:t>
      </w:r>
    </w:p>
  </w:footnote>
  <w:footnote w:id="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בישראל: ס' 20(ב) לחוק-יסוד: השפיטה. </w:t>
      </w:r>
    </w:p>
  </w:footnote>
  <w:footnote w:id="5">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בישראל, החלטות של בית המשפט המחוזי מנחות בלבד את בתי משפט השלום (ס' 20(א) לחוק-יסוד: השפיטה), אז ערכן התקדימי מוגבל.</w:t>
      </w:r>
    </w:p>
  </w:footnote>
  <w:footnote w:id="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rPr>
          <w:smallCaps/>
        </w:rPr>
        <w:t>Víctor</w:t>
      </w:r>
      <w:proofErr w:type="spellEnd"/>
      <w:r w:rsidRPr="00C07D61">
        <w:rPr>
          <w:smallCaps/>
        </w:rPr>
        <w:t xml:space="preserve"> </w:t>
      </w:r>
      <w:proofErr w:type="spellStart"/>
      <w:r w:rsidRPr="00C07D61">
        <w:rPr>
          <w:smallCaps/>
        </w:rPr>
        <w:t>Ferreres</w:t>
      </w:r>
      <w:proofErr w:type="spellEnd"/>
      <w:r w:rsidRPr="00C07D61">
        <w:rPr>
          <w:smallCaps/>
        </w:rPr>
        <w:t xml:space="preserve"> </w:t>
      </w:r>
      <w:proofErr w:type="spellStart"/>
      <w:r w:rsidRPr="00C07D61">
        <w:rPr>
          <w:smallCaps/>
        </w:rPr>
        <w:t>Comella</w:t>
      </w:r>
      <w:proofErr w:type="spellEnd"/>
      <w:r w:rsidRPr="00C07D61">
        <w:rPr>
          <w:smallCaps/>
        </w:rPr>
        <w:t>, Constitutional Courts and Democratic Values</w:t>
      </w:r>
      <w:r w:rsidRPr="00C07D61">
        <w:t xml:space="preserve"> 5-9 (2009)</w:t>
      </w:r>
      <w:r w:rsidRPr="00C07D61">
        <w:rPr>
          <w:rFonts w:hint="cs"/>
          <w:rtl/>
        </w:rPr>
        <w:t xml:space="preserve">; </w:t>
      </w:r>
      <w:r w:rsidRPr="00C07D61">
        <w:rPr>
          <w:smallCaps/>
        </w:rPr>
        <w:t>Brewer-</w:t>
      </w:r>
      <w:proofErr w:type="spellStart"/>
      <w:r w:rsidRPr="00C07D61">
        <w:rPr>
          <w:smallCaps/>
        </w:rPr>
        <w:t>Carias</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26 \h  \* MERGEFORMAT ">
        <w:r w:rsidR="00DE2615">
          <w:t>2</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194-185; </w:t>
      </w:r>
      <w:proofErr w:type="spellStart"/>
      <w:r w:rsidRPr="00C07D61">
        <w:rPr>
          <w:smallCaps/>
        </w:rPr>
        <w:t>Cappelletti</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26 \h  \* MERGEFORMAT ">
        <w:r w:rsidR="00DE2615">
          <w:t>2</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146-136. </w:t>
      </w:r>
    </w:p>
  </w:footnote>
  <w:footnote w:id="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t xml:space="preserve">Tom Ginsburg &amp; Zachary Elkins, </w:t>
      </w:r>
      <w:r w:rsidRPr="00C07D61">
        <w:rPr>
          <w:i/>
          <w:iCs/>
        </w:rPr>
        <w:t>Ancillary Powers of Constitutional Courts</w:t>
      </w:r>
      <w:r w:rsidRPr="00C07D61">
        <w:t xml:space="preserve">, 87 </w:t>
      </w:r>
      <w:r w:rsidRPr="00C07D61">
        <w:rPr>
          <w:smallCaps/>
        </w:rPr>
        <w:t xml:space="preserve">Texas L. </w:t>
      </w:r>
      <w:proofErr w:type="gramStart"/>
      <w:r w:rsidRPr="00C07D61">
        <w:rPr>
          <w:smallCaps/>
        </w:rPr>
        <w:t>Rev</w:t>
      </w:r>
      <w:r w:rsidRPr="00C07D61">
        <w:t>. 1431 (2009)</w:t>
      </w:r>
      <w:r w:rsidRPr="00C07D61">
        <w:rPr>
          <w:rFonts w:hint="cs"/>
          <w:rtl/>
        </w:rPr>
        <w:t>.</w:t>
      </w:r>
      <w:proofErr w:type="gramEnd"/>
    </w:p>
  </w:footnote>
  <w:footnote w:id="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t xml:space="preserve">John </w:t>
      </w:r>
      <w:proofErr w:type="spellStart"/>
      <w:r w:rsidRPr="00C07D61">
        <w:t>Ferejohn</w:t>
      </w:r>
      <w:proofErr w:type="spellEnd"/>
      <w:r w:rsidRPr="00C07D61">
        <w:t xml:space="preserve"> &amp; Pasquale </w:t>
      </w:r>
      <w:proofErr w:type="spellStart"/>
      <w:r w:rsidRPr="00C07D61">
        <w:t>Pasquino</w:t>
      </w:r>
      <w:proofErr w:type="spellEnd"/>
      <w:r w:rsidRPr="00C07D61">
        <w:t xml:space="preserve">, </w:t>
      </w:r>
      <w:r w:rsidRPr="00C07D61">
        <w:rPr>
          <w:i/>
          <w:iCs/>
        </w:rPr>
        <w:t>Constitutional Adjudication: Lessons from Europe</w:t>
      </w:r>
      <w:r w:rsidRPr="00C07D61">
        <w:t xml:space="preserve">, 82 </w:t>
      </w:r>
      <w:r w:rsidRPr="00C07D61">
        <w:rPr>
          <w:smallCaps/>
        </w:rPr>
        <w:t>Tex. L. Rev</w:t>
      </w:r>
      <w:r w:rsidRPr="00C07D61">
        <w:t>. 1671, 1677-78 (2004)</w:t>
      </w:r>
    </w:p>
  </w:footnote>
  <w:footnote w:id="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proofErr w:type="gramStart"/>
      <w:r w:rsidRPr="00C07D61">
        <w:rPr>
          <w:smallCaps/>
        </w:rPr>
        <w:t xml:space="preserve">Hans H. </w:t>
      </w:r>
      <w:proofErr w:type="spellStart"/>
      <w:r w:rsidRPr="00C07D61">
        <w:rPr>
          <w:smallCaps/>
        </w:rPr>
        <w:t>Kelsen</w:t>
      </w:r>
      <w:proofErr w:type="spellEnd"/>
      <w:r w:rsidRPr="00C07D61">
        <w:rPr>
          <w:smallCaps/>
        </w:rPr>
        <w:t xml:space="preserve">, General Theory of Law and State </w:t>
      </w:r>
      <w:r w:rsidRPr="00C07D61">
        <w:t xml:space="preserve">268-69 (Anders </w:t>
      </w:r>
      <w:proofErr w:type="spellStart"/>
      <w:r w:rsidRPr="00C07D61">
        <w:t>Wedberg</w:t>
      </w:r>
      <w:proofErr w:type="spellEnd"/>
      <w:r w:rsidRPr="00C07D61">
        <w:t xml:space="preserve"> trans. 1945)</w:t>
      </w:r>
      <w:r w:rsidRPr="00C07D61">
        <w:rPr>
          <w:rFonts w:hint="cs"/>
          <w:rtl/>
        </w:rPr>
        <w:t>.</w:t>
      </w:r>
      <w:proofErr w:type="gramEnd"/>
      <w:r w:rsidRPr="00C07D61">
        <w:rPr>
          <w:rFonts w:hint="cs"/>
          <w:rtl/>
        </w:rPr>
        <w:t xml:space="preserve"> </w:t>
      </w:r>
    </w:p>
  </w:footnote>
  <w:footnote w:id="1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t>Marbury v Madison, 5 U.S. 137, 177 (1803)</w:t>
      </w:r>
      <w:r w:rsidRPr="00C07D61">
        <w:rPr>
          <w:rFonts w:hint="cs"/>
          <w:rtl/>
        </w:rPr>
        <w:t xml:space="preserve"> (</w:t>
      </w:r>
      <w:r w:rsidRPr="00C07D61">
        <w:t>a legislative act contrary to the Constitution is not law</w:t>
      </w:r>
      <w:r w:rsidRPr="00C07D61">
        <w:rPr>
          <w:rFonts w:hint="cs"/>
          <w:rtl/>
        </w:rPr>
        <w:t xml:space="preserve">); ע"א 6821/93 </w:t>
      </w:r>
      <w:r w:rsidRPr="00C07D61">
        <w:rPr>
          <w:rFonts w:hint="cs"/>
          <w:b/>
          <w:bCs/>
          <w:rtl/>
        </w:rPr>
        <w:t>בנק המזרחי המאוחד נ' מגדל כפר שיתופי</w:t>
      </w:r>
      <w:r w:rsidRPr="00C07D61">
        <w:rPr>
          <w:rFonts w:hint="cs"/>
          <w:rtl/>
        </w:rPr>
        <w:t>, פ"ד מט(4) 221, 417-416 (1995).</w:t>
      </w:r>
    </w:p>
  </w:footnote>
  <w:footnote w:id="11">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smallCaps/>
        </w:rPr>
        <w:t>Brewer-</w:t>
      </w:r>
      <w:proofErr w:type="spellStart"/>
      <w:r w:rsidRPr="00C07D61">
        <w:rPr>
          <w:smallCaps/>
        </w:rPr>
        <w:t>Carías</w:t>
      </w:r>
      <w:proofErr w:type="spellEnd"/>
      <w:r w:rsidRPr="00C07D61">
        <w:rPr>
          <w:rFonts w:hint="cs"/>
          <w:smallCaps/>
          <w:rtl/>
        </w:rPr>
        <w:t xml:space="preserve">, לעיל </w:t>
      </w:r>
      <w:proofErr w:type="spellStart"/>
      <w:r w:rsidRPr="00C07D61">
        <w:rPr>
          <w:rFonts w:hint="cs"/>
          <w:smallCaps/>
          <w:rtl/>
        </w:rPr>
        <w:t>ה"ש</w:t>
      </w:r>
      <w:proofErr w:type="spellEnd"/>
      <w:r w:rsidRPr="00C07D61">
        <w:rPr>
          <w:rFonts w:hint="cs"/>
          <w:smallCaps/>
          <w:rtl/>
        </w:rPr>
        <w:t xml:space="preserve"> </w:t>
      </w:r>
      <w:fldSimple w:instr=" NOTEREF _Ref365893526 \h  \* MERGEFORMAT ">
        <w:r w:rsidR="00DE2615">
          <w:t>2</w:t>
        </w:r>
      </w:fldSimple>
      <w:r w:rsidRPr="00C07D61">
        <w:rPr>
          <w:rFonts w:hint="cs"/>
          <w:smallCaps/>
          <w:rtl/>
        </w:rPr>
        <w:t xml:space="preserve">, </w:t>
      </w:r>
      <w:proofErr w:type="spellStart"/>
      <w:r w:rsidRPr="00C07D61">
        <w:rPr>
          <w:rFonts w:hint="cs"/>
          <w:smallCaps/>
          <w:rtl/>
        </w:rPr>
        <w:t>בעמ</w:t>
      </w:r>
      <w:proofErr w:type="spellEnd"/>
      <w:r w:rsidRPr="00C07D61">
        <w:rPr>
          <w:rFonts w:hint="cs"/>
          <w:smallCaps/>
          <w:rtl/>
        </w:rPr>
        <w:t>' 128 ("</w:t>
      </w:r>
      <w:r w:rsidRPr="00C07D61">
        <w:t>If the principle of constitutional supremacy is adopted the logical and necessary consequence is that the courts must have the power to decide which norm is to be applied when a contradiction exists between a particular law and the Constitution</w:t>
      </w:r>
      <w:r w:rsidRPr="00C07D61">
        <w:rPr>
          <w:rFonts w:hint="cs"/>
          <w:rtl/>
        </w:rPr>
        <w:t xml:space="preserve">"). </w:t>
      </w:r>
      <w:r w:rsidRPr="00C07D61">
        <w:rPr>
          <w:smallCaps/>
        </w:rPr>
        <w:t xml:space="preserve"> </w:t>
      </w:r>
    </w:p>
  </w:footnote>
  <w:footnote w:id="1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rFonts w:hint="cs"/>
          <w:b/>
          <w:bCs/>
          <w:rtl/>
        </w:rPr>
        <w:t>הפדרליסט</w:t>
      </w:r>
      <w:r w:rsidRPr="00C07D61">
        <w:rPr>
          <w:rFonts w:hint="cs"/>
          <w:rtl/>
        </w:rPr>
        <w:t xml:space="preserve"> מס' 78 (אלכסנדר המילטון), עמ' 391-390 (תרגום אהרן אמיר </w:t>
      </w:r>
      <w:proofErr w:type="spellStart"/>
      <w:r w:rsidRPr="00C07D61">
        <w:rPr>
          <w:rFonts w:hint="cs"/>
          <w:rtl/>
        </w:rPr>
        <w:t>התשס"ב</w:t>
      </w:r>
      <w:proofErr w:type="spellEnd"/>
      <w:r w:rsidRPr="00C07D61">
        <w:rPr>
          <w:rFonts w:hint="cs"/>
          <w:rtl/>
        </w:rPr>
        <w:t xml:space="preserve"> [1788]).</w:t>
      </w:r>
    </w:p>
  </w:footnote>
  <w:footnote w:id="1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ראו</w:t>
      </w:r>
      <w:r w:rsidRPr="00C07D61">
        <w:t xml:space="preserve"> </w:t>
      </w:r>
      <w:proofErr w:type="spellStart"/>
      <w:r w:rsidRPr="00C07D61">
        <w:rPr>
          <w:smallCaps/>
        </w:rPr>
        <w:t>Comella</w:t>
      </w:r>
      <w:proofErr w:type="spellEnd"/>
      <w:r w:rsidRPr="00C07D61">
        <w:rPr>
          <w:rFonts w:hint="cs"/>
          <w:smallCaps/>
          <w:rtl/>
        </w:rPr>
        <w:t xml:space="preserve">, לעיל </w:t>
      </w:r>
      <w:proofErr w:type="spellStart"/>
      <w:r w:rsidRPr="00C07D61">
        <w:rPr>
          <w:rFonts w:hint="cs"/>
          <w:smallCaps/>
          <w:rtl/>
        </w:rPr>
        <w:t>ה"ש</w:t>
      </w:r>
      <w:proofErr w:type="spellEnd"/>
      <w:r w:rsidRPr="00C07D61">
        <w:rPr>
          <w:rFonts w:hint="cs"/>
          <w:smallCaps/>
          <w:rtl/>
        </w:rPr>
        <w:t xml:space="preserve"> </w:t>
      </w:r>
      <w:fldSimple w:instr=" NOTEREF _Ref373311900 \h  \* MERGEFORMAT ">
        <w:r w:rsidR="00DE2615">
          <w:t>5</w:t>
        </w:r>
      </w:fldSimple>
      <w:r w:rsidRPr="00C07D61">
        <w:rPr>
          <w:rFonts w:hint="cs"/>
          <w:smallCaps/>
          <w:rtl/>
        </w:rPr>
        <w:t xml:space="preserve">, </w:t>
      </w:r>
      <w:proofErr w:type="spellStart"/>
      <w:r w:rsidRPr="00C07D61">
        <w:rPr>
          <w:rFonts w:hint="cs"/>
          <w:smallCaps/>
          <w:rtl/>
        </w:rPr>
        <w:t>בעמ</w:t>
      </w:r>
      <w:proofErr w:type="spellEnd"/>
      <w:r w:rsidRPr="00C07D61">
        <w:rPr>
          <w:rFonts w:hint="cs"/>
          <w:smallCaps/>
          <w:rtl/>
        </w:rPr>
        <w:t>' 47-45 (מתאר את ה-"</w:t>
      </w:r>
      <w:r w:rsidRPr="00C07D61">
        <w:t>relative autonomy of constitutional discourse</w:t>
      </w:r>
      <w:r w:rsidRPr="00C07D61">
        <w:rPr>
          <w:rFonts w:hint="cs"/>
          <w:smallCaps/>
          <w:rtl/>
        </w:rPr>
        <w:t xml:space="preserve">", שמשחרר את הערכאות החוקתיות מכבלי השיח המשפטי הטיפוסי, ואת הערכאות המשפטיות מן הצורך לעסוק בשאלות של מוסר ומדיניות). </w:t>
      </w:r>
    </w:p>
  </w:footnote>
  <w:footnote w:id="1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 xml:space="preserve">Patricio </w:t>
      </w:r>
      <w:proofErr w:type="spellStart"/>
      <w:r w:rsidRPr="00C07D61">
        <w:t>Navia</w:t>
      </w:r>
      <w:proofErr w:type="spellEnd"/>
      <w:r w:rsidRPr="00C07D61">
        <w:t xml:space="preserve"> &amp; Julio Ríos-</w:t>
      </w:r>
      <w:proofErr w:type="spellStart"/>
      <w:r w:rsidRPr="00C07D61">
        <w:t>Figuera</w:t>
      </w:r>
      <w:proofErr w:type="spellEnd"/>
      <w:r w:rsidRPr="00C07D61">
        <w:t xml:space="preserve">, </w:t>
      </w:r>
      <w:r w:rsidRPr="00C07D61">
        <w:rPr>
          <w:i/>
          <w:iCs/>
        </w:rPr>
        <w:t>The Constitutional Adjudication Mosaic of Latin America</w:t>
      </w:r>
      <w:r w:rsidRPr="00C07D61">
        <w:t xml:space="preserve">, 38 </w:t>
      </w:r>
      <w:r w:rsidRPr="00C07D61">
        <w:rPr>
          <w:smallCaps/>
        </w:rPr>
        <w:t>Comp. Pol. Stud</w:t>
      </w:r>
      <w:r w:rsidRPr="00C07D61">
        <w:t xml:space="preserve">. </w:t>
      </w:r>
      <w:proofErr w:type="gramStart"/>
      <w:r w:rsidRPr="00C07D61">
        <w:t>189, 198-99 (2005)</w:t>
      </w:r>
      <w:r w:rsidRPr="00C07D61">
        <w:rPr>
          <w:rFonts w:hint="cs"/>
          <w:rtl/>
        </w:rPr>
        <w:t>.</w:t>
      </w:r>
      <w:proofErr w:type="gramEnd"/>
      <w:r w:rsidRPr="00C07D61">
        <w:rPr>
          <w:rFonts w:hint="cs"/>
          <w:rtl/>
        </w:rPr>
        <w:t xml:space="preserve"> </w:t>
      </w:r>
    </w:p>
  </w:footnote>
  <w:footnote w:id="1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t>Víctor</w:t>
      </w:r>
      <w:proofErr w:type="spellEnd"/>
      <w:r w:rsidRPr="00C07D61">
        <w:t xml:space="preserve"> </w:t>
      </w:r>
      <w:proofErr w:type="spellStart"/>
      <w:r w:rsidRPr="00C07D61">
        <w:t>Ferreres</w:t>
      </w:r>
      <w:proofErr w:type="spellEnd"/>
      <w:r w:rsidRPr="00C07D61">
        <w:t xml:space="preserve"> </w:t>
      </w:r>
      <w:proofErr w:type="spellStart"/>
      <w:r w:rsidRPr="00C07D61">
        <w:t>Comella</w:t>
      </w:r>
      <w:proofErr w:type="spellEnd"/>
      <w:r w:rsidRPr="00C07D61">
        <w:t xml:space="preserve">, </w:t>
      </w:r>
      <w:r w:rsidRPr="00C07D61">
        <w:rPr>
          <w:i/>
          <w:iCs/>
        </w:rPr>
        <w:t>The Consequences of Centralizing Constitutional Review in a Special Court: Some Thoughts on Judicial Activism</w:t>
      </w:r>
      <w:r w:rsidRPr="00C07D61">
        <w:t>, 82 T</w:t>
      </w:r>
      <w:r w:rsidRPr="00C07D61">
        <w:rPr>
          <w:sz w:val="16"/>
          <w:szCs w:val="16"/>
        </w:rPr>
        <w:t>EX</w:t>
      </w:r>
      <w:r w:rsidRPr="00C07D61">
        <w:t>. L. R</w:t>
      </w:r>
      <w:r w:rsidRPr="00C07D61">
        <w:rPr>
          <w:sz w:val="16"/>
          <w:szCs w:val="16"/>
        </w:rPr>
        <w:t>EV</w:t>
      </w:r>
      <w:r w:rsidRPr="00C07D61">
        <w:t>. 1705, 1714-16 (2004)</w:t>
      </w:r>
      <w:r w:rsidRPr="00C07D61">
        <w:rPr>
          <w:rFonts w:hint="cs"/>
          <w:rtl/>
        </w:rPr>
        <w:t>.</w:t>
      </w:r>
    </w:p>
  </w:footnote>
  <w:footnote w:id="1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להלן בעיקר פרק ה(2). </w:t>
      </w:r>
    </w:p>
  </w:footnote>
  <w:footnote w:id="1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ע"א </w:t>
      </w:r>
      <w:r w:rsidRPr="00C07D61">
        <w:rPr>
          <w:rFonts w:hint="cs"/>
          <w:b/>
          <w:bCs/>
          <w:rtl/>
        </w:rPr>
        <w:t>בנק המזרחי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47 \h  \* MERGEFORMAT ">
        <w:r w:rsidR="00DE2615">
          <w:t>9</w:t>
        </w:r>
      </w:fldSimple>
      <w:r w:rsidRPr="00C07D61">
        <w:rPr>
          <w:rFonts w:hint="cs"/>
          <w:rtl/>
        </w:rPr>
        <w:t>.</w:t>
      </w:r>
    </w:p>
  </w:footnote>
  <w:footnote w:id="1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b/>
          <w:bCs/>
          <w:rtl/>
        </w:rPr>
        <w:t>ס"ח</w:t>
      </w:r>
      <w:r w:rsidRPr="00C07D61">
        <w:rPr>
          <w:rFonts w:hint="cs"/>
          <w:rtl/>
        </w:rPr>
        <w:t xml:space="preserve"> 1431, עמ' 178. </w:t>
      </w:r>
    </w:p>
  </w:footnote>
  <w:footnote w:id="19">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ת.א. (מח' ת"א) 2252/91, </w:t>
      </w:r>
      <w:proofErr w:type="spellStart"/>
      <w:r w:rsidRPr="00C07D61">
        <w:rPr>
          <w:rFonts w:hint="cs"/>
          <w:rtl/>
        </w:rPr>
        <w:t>המ</w:t>
      </w:r>
      <w:proofErr w:type="spellEnd"/>
      <w:r w:rsidRPr="00C07D61">
        <w:rPr>
          <w:rFonts w:hint="cs"/>
          <w:rtl/>
        </w:rPr>
        <w:t xml:space="preserve">' 5025/92 </w:t>
      </w:r>
      <w:r w:rsidRPr="00C07D61">
        <w:rPr>
          <w:rFonts w:hint="cs"/>
          <w:b/>
          <w:bCs/>
          <w:rtl/>
        </w:rPr>
        <w:t xml:space="preserve">שירותי אשראי מסחרי (ישראל) נ' גבעת יואב </w:t>
      </w:r>
      <w:r w:rsidRPr="00C07D61">
        <w:rPr>
          <w:b/>
          <w:bCs/>
          <w:rtl/>
        </w:rPr>
        <w:t>–</w:t>
      </w:r>
      <w:r w:rsidRPr="00C07D61">
        <w:rPr>
          <w:rFonts w:hint="cs"/>
          <w:b/>
          <w:bCs/>
          <w:rtl/>
        </w:rPr>
        <w:t xml:space="preserve"> מושב עובדים</w:t>
      </w:r>
      <w:r w:rsidRPr="00C07D61">
        <w:rPr>
          <w:rFonts w:hint="cs"/>
          <w:rtl/>
        </w:rPr>
        <w:t xml:space="preserve">, </w:t>
      </w:r>
      <w:proofErr w:type="spellStart"/>
      <w:r w:rsidRPr="00C07D61">
        <w:rPr>
          <w:rFonts w:hint="cs"/>
          <w:rtl/>
        </w:rPr>
        <w:t>פ"מ</w:t>
      </w:r>
      <w:proofErr w:type="spellEnd"/>
      <w:r w:rsidRPr="00C07D61">
        <w:rPr>
          <w:rFonts w:hint="cs"/>
          <w:rtl/>
        </w:rPr>
        <w:t xml:space="preserve"> תשנ"ד(3) 243 (1994) (השופטת שטיין); בר"ע (מח' חיפה) 18/94 </w:t>
      </w:r>
      <w:r w:rsidRPr="00C07D61">
        <w:rPr>
          <w:rFonts w:hint="cs"/>
          <w:b/>
          <w:bCs/>
          <w:rtl/>
        </w:rPr>
        <w:t>כפר ביאליק כפר שיתופי נ' נחמיאס</w:t>
      </w:r>
      <w:r w:rsidRPr="00C07D61">
        <w:rPr>
          <w:rFonts w:hint="cs"/>
          <w:rtl/>
        </w:rPr>
        <w:t xml:space="preserve"> (פורסם בנבו, 30.5.1994) (השופט ג'ובראן). </w:t>
      </w:r>
    </w:p>
  </w:footnote>
  <w:footnote w:id="2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ע"א </w:t>
      </w:r>
      <w:r w:rsidRPr="00C07D61">
        <w:rPr>
          <w:rFonts w:hint="cs"/>
          <w:b/>
          <w:bCs/>
          <w:rtl/>
        </w:rPr>
        <w:t>בנק המזרחי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47 \h  \* MERGEFORMAT ">
        <w:r w:rsidR="00DE2615">
          <w:t>9</w:t>
        </w:r>
      </w:fldSimple>
      <w:r w:rsidRPr="00C07D61">
        <w:rPr>
          <w:rFonts w:hint="cs"/>
          <w:rtl/>
        </w:rPr>
        <w:t xml:space="preserve">, </w:t>
      </w:r>
      <w:proofErr w:type="spellStart"/>
      <w:r w:rsidRPr="00C07D61">
        <w:rPr>
          <w:rFonts w:hint="cs"/>
          <w:rtl/>
        </w:rPr>
        <w:t>בעמ</w:t>
      </w:r>
      <w:proofErr w:type="spellEnd"/>
      <w:r w:rsidRPr="00C07D61">
        <w:rPr>
          <w:rFonts w:hint="cs"/>
          <w:rtl/>
        </w:rPr>
        <w:t>' 418 (ההדגשה הוספה).</w:t>
      </w:r>
    </w:p>
  </w:footnote>
  <w:footnote w:id="2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ע"א </w:t>
      </w:r>
      <w:r w:rsidRPr="00C07D61">
        <w:rPr>
          <w:rFonts w:hint="cs"/>
          <w:b/>
          <w:bCs/>
          <w:rtl/>
        </w:rPr>
        <w:t>בנק המזרחי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47 \h  \* MERGEFORMAT ">
        <w:r w:rsidR="00DE2615">
          <w:t>9</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568. </w:t>
      </w:r>
    </w:p>
  </w:footnote>
  <w:footnote w:id="22">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שם. </w:t>
      </w:r>
    </w:p>
  </w:footnote>
  <w:footnote w:id="2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proofErr w:type="spellStart"/>
      <w:r w:rsidRPr="00C07D61">
        <w:rPr>
          <w:rtl/>
        </w:rPr>
        <w:t>רע"פ</w:t>
      </w:r>
      <w:proofErr w:type="spellEnd"/>
      <w:r w:rsidRPr="00C07D61">
        <w:rPr>
          <w:rtl/>
        </w:rPr>
        <w:t xml:space="preserve"> 10687/02</w:t>
      </w:r>
      <w:r w:rsidRPr="00C07D61">
        <w:rPr>
          <w:rFonts w:hint="cs"/>
          <w:rtl/>
        </w:rPr>
        <w:t xml:space="preserve"> </w:t>
      </w:r>
      <w:proofErr w:type="spellStart"/>
      <w:r w:rsidRPr="00C07D61">
        <w:rPr>
          <w:b/>
          <w:bCs/>
          <w:rtl/>
        </w:rPr>
        <w:t>הנדימן</w:t>
      </w:r>
      <w:proofErr w:type="spellEnd"/>
      <w:r w:rsidRPr="00C07D61">
        <w:rPr>
          <w:b/>
          <w:bCs/>
          <w:rtl/>
        </w:rPr>
        <w:t xml:space="preserve"> עשה זאת בעצמך</w:t>
      </w:r>
      <w:r w:rsidRPr="00C07D61">
        <w:rPr>
          <w:rFonts w:hint="cs"/>
          <w:b/>
          <w:bCs/>
          <w:rtl/>
        </w:rPr>
        <w:t xml:space="preserve"> </w:t>
      </w:r>
      <w:r w:rsidRPr="00C07D61">
        <w:rPr>
          <w:b/>
          <w:bCs/>
          <w:rtl/>
        </w:rPr>
        <w:t>נ' מדינת ישראל</w:t>
      </w:r>
      <w:r w:rsidRPr="00C07D61">
        <w:rPr>
          <w:rFonts w:hint="cs"/>
          <w:rtl/>
        </w:rPr>
        <w:t xml:space="preserve">, </w:t>
      </w:r>
      <w:proofErr w:type="spellStart"/>
      <w:r w:rsidRPr="00C07D61">
        <w:rPr>
          <w:rtl/>
        </w:rPr>
        <w:t>פ''ד</w:t>
      </w:r>
      <w:proofErr w:type="spellEnd"/>
      <w:r w:rsidRPr="00C07D61">
        <w:rPr>
          <w:rtl/>
        </w:rPr>
        <w:t xml:space="preserve"> </w:t>
      </w:r>
      <w:proofErr w:type="spellStart"/>
      <w:r w:rsidRPr="00C07D61">
        <w:rPr>
          <w:rtl/>
        </w:rPr>
        <w:t>נז</w:t>
      </w:r>
      <w:proofErr w:type="spellEnd"/>
      <w:r w:rsidRPr="00C07D61">
        <w:rPr>
          <w:rtl/>
        </w:rPr>
        <w:t>(3) 1</w:t>
      </w:r>
      <w:r w:rsidRPr="00C07D61">
        <w:rPr>
          <w:rFonts w:hint="cs"/>
          <w:rtl/>
        </w:rPr>
        <w:t xml:space="preserve"> (2003) (דחיית בקשה למתן רשות ערעור על החלטת בתי הדין לעבודה לפיה איסור העבודה בשבת בחוק שעות עבודה ומנוחה, תשי"א-1951 הנו חוקתי); בש"פ 8823/07 </w:t>
      </w:r>
      <w:r w:rsidRPr="00C07D61">
        <w:rPr>
          <w:rFonts w:hint="cs"/>
          <w:b/>
          <w:bCs/>
          <w:rtl/>
        </w:rPr>
        <w:t>פלוני נ' מדינת ישראל</w:t>
      </w:r>
      <w:r w:rsidRPr="00C07D61">
        <w:rPr>
          <w:rFonts w:hint="cs"/>
          <w:rtl/>
        </w:rPr>
        <w:t xml:space="preserve"> (פורסם בנבו, 11.2.2010) (קבלת ערעור על החלטת בתי משפט השלום והמחוזי לפיה </w:t>
      </w:r>
      <w:r w:rsidRPr="00C07D61">
        <w:rPr>
          <w:rtl/>
        </w:rPr>
        <w:t>ס</w:t>
      </w:r>
      <w:r w:rsidRPr="00C07D61">
        <w:rPr>
          <w:rFonts w:hint="cs"/>
          <w:rtl/>
        </w:rPr>
        <w:t>'</w:t>
      </w:r>
      <w:r w:rsidRPr="00C07D61">
        <w:rPr>
          <w:rtl/>
        </w:rPr>
        <w:t xml:space="preserve"> 5 לחוק סדר הדין הפלילי (עצור החשוד בעבירת ביטחון) (הוראת שעה), התשס"ו-2006</w:t>
      </w:r>
      <w:r w:rsidRPr="00C07D61">
        <w:rPr>
          <w:rFonts w:hint="cs"/>
          <w:rtl/>
        </w:rPr>
        <w:t xml:space="preserve"> הוא חוקתי); </w:t>
      </w:r>
      <w:r w:rsidRPr="00C07D61">
        <w:rPr>
          <w:rtl/>
        </w:rPr>
        <w:t>ע</w:t>
      </w:r>
      <w:r w:rsidRPr="00C07D61">
        <w:rPr>
          <w:rFonts w:hint="cs"/>
          <w:rtl/>
        </w:rPr>
        <w:t>"</w:t>
      </w:r>
      <w:r w:rsidRPr="00C07D61">
        <w:rPr>
          <w:rtl/>
        </w:rPr>
        <w:t xml:space="preserve">א 4737/06 </w:t>
      </w:r>
      <w:r w:rsidRPr="00C07D61">
        <w:rPr>
          <w:b/>
          <w:bCs/>
          <w:rtl/>
        </w:rPr>
        <w:t>חסונה נ' רשות הפיתוח – מנהל מקרקעי ישראל</w:t>
      </w:r>
      <w:r w:rsidRPr="00C07D61">
        <w:rPr>
          <w:rtl/>
        </w:rPr>
        <w:t>‏</w:t>
      </w:r>
      <w:r w:rsidRPr="00C07D61">
        <w:rPr>
          <w:rFonts w:hint="cs"/>
          <w:rtl/>
        </w:rPr>
        <w:t xml:space="preserve"> (פורסם בנבו, 31.12.2012) (דחיית ערעור על החלטת בית משפט מחוזי לפיה ס' 8 ל</w:t>
      </w:r>
      <w:r w:rsidRPr="00C07D61">
        <w:rPr>
          <w:rtl/>
        </w:rPr>
        <w:t>חוק לתיקון דיני הרכישה לצרכי ציבור, התשכ"ד</w:t>
      </w:r>
      <w:r w:rsidRPr="00C07D61">
        <w:rPr>
          <w:rFonts w:hint="cs"/>
          <w:rtl/>
        </w:rPr>
        <w:t>-</w:t>
      </w:r>
      <w:r w:rsidRPr="00C07D61">
        <w:rPr>
          <w:rtl/>
        </w:rPr>
        <w:t>1964</w:t>
      </w:r>
      <w:r w:rsidRPr="00C07D61">
        <w:rPr>
          <w:rFonts w:hint="cs"/>
          <w:rtl/>
        </w:rPr>
        <w:t xml:space="preserve"> הוא חוקתי); בג"ץ 7146/12 </w:t>
      </w:r>
      <w:r w:rsidRPr="00C07D61">
        <w:rPr>
          <w:rFonts w:hint="cs"/>
          <w:b/>
          <w:bCs/>
          <w:rtl/>
        </w:rPr>
        <w:t>אדם נ' הכנסת</w:t>
      </w:r>
      <w:r w:rsidRPr="00C07D61">
        <w:rPr>
          <w:rFonts w:hint="cs"/>
          <w:rtl/>
        </w:rPr>
        <w:t xml:space="preserve"> (פורסם בנבו, 16.9.2013) (בצד עתירה לבג"ץ, קבלת ערעורים על החלטת בית המשפט לעניינים מנהליים לפיה ס' 30א לחוק למניעת הסתננות </w:t>
      </w:r>
      <w:r w:rsidRPr="00C07D61">
        <w:rPr>
          <w:rtl/>
        </w:rPr>
        <w:t>(עבירות ושיפוט), התשי"ד-1954</w:t>
      </w:r>
      <w:r w:rsidRPr="00C07D61">
        <w:rPr>
          <w:rFonts w:hint="cs"/>
          <w:rtl/>
        </w:rPr>
        <w:t xml:space="preserve"> הוא חוקתי). </w:t>
      </w:r>
    </w:p>
  </w:footnote>
  <w:footnote w:id="2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rtl/>
        </w:rPr>
        <w:t>בג"ץ 8424/01</w:t>
      </w:r>
      <w:r w:rsidRPr="00C07D61">
        <w:rPr>
          <w:rFonts w:hint="cs"/>
          <w:rtl/>
        </w:rPr>
        <w:t xml:space="preserve"> </w:t>
      </w:r>
      <w:proofErr w:type="spellStart"/>
      <w:r w:rsidRPr="00C07D61">
        <w:rPr>
          <w:b/>
          <w:bCs/>
          <w:rtl/>
        </w:rPr>
        <w:t>הנדלמן</w:t>
      </w:r>
      <w:proofErr w:type="spellEnd"/>
      <w:r w:rsidRPr="00C07D61">
        <w:rPr>
          <w:b/>
          <w:bCs/>
          <w:rtl/>
        </w:rPr>
        <w:t xml:space="preserve"> נ' נציב מס הכנסה</w:t>
      </w:r>
      <w:r w:rsidRPr="00C07D61">
        <w:rPr>
          <w:rFonts w:hint="cs"/>
          <w:rtl/>
        </w:rPr>
        <w:t xml:space="preserve"> (פורסם בנבו, </w:t>
      </w:r>
      <w:r w:rsidRPr="00C07D61">
        <w:rPr>
          <w:rtl/>
        </w:rPr>
        <w:t>30.9.2002</w:t>
      </w:r>
      <w:r w:rsidRPr="00C07D61">
        <w:rPr>
          <w:rFonts w:hint="cs"/>
          <w:rtl/>
        </w:rPr>
        <w:t xml:space="preserve">); </w:t>
      </w:r>
      <w:r w:rsidRPr="00C07D61">
        <w:rPr>
          <w:rtl/>
        </w:rPr>
        <w:t>בג"ץ 2055/02</w:t>
      </w:r>
      <w:r w:rsidRPr="00C07D61">
        <w:rPr>
          <w:rFonts w:hint="cs"/>
          <w:rtl/>
        </w:rPr>
        <w:t xml:space="preserve"> </w:t>
      </w:r>
      <w:proofErr w:type="spellStart"/>
      <w:r w:rsidRPr="00C07D61">
        <w:rPr>
          <w:b/>
          <w:bCs/>
          <w:rtl/>
        </w:rPr>
        <w:t>עבייד</w:t>
      </w:r>
      <w:proofErr w:type="spellEnd"/>
      <w:r w:rsidRPr="00C07D61">
        <w:rPr>
          <w:b/>
          <w:bCs/>
          <w:rtl/>
        </w:rPr>
        <w:t xml:space="preserve"> נ' שר </w:t>
      </w:r>
      <w:proofErr w:type="spellStart"/>
      <w:r w:rsidRPr="00C07D61">
        <w:rPr>
          <w:b/>
          <w:bCs/>
          <w:rtl/>
        </w:rPr>
        <w:t>הבטחון</w:t>
      </w:r>
      <w:proofErr w:type="spellEnd"/>
      <w:r w:rsidRPr="00C07D61">
        <w:rPr>
          <w:rFonts w:hint="cs"/>
          <w:rtl/>
        </w:rPr>
        <w:t xml:space="preserve"> (פורסם בנבו, </w:t>
      </w:r>
      <w:r w:rsidRPr="00C07D61">
        <w:rPr>
          <w:rtl/>
        </w:rPr>
        <w:t>12.12.2002</w:t>
      </w:r>
      <w:r w:rsidRPr="00C07D61">
        <w:rPr>
          <w:rFonts w:hint="cs"/>
          <w:rtl/>
        </w:rPr>
        <w:t xml:space="preserve">); </w:t>
      </w:r>
      <w:r w:rsidRPr="00C07D61">
        <w:rPr>
          <w:rtl/>
        </w:rPr>
        <w:t>בג"ץ 7190/05</w:t>
      </w:r>
      <w:r w:rsidRPr="00C07D61">
        <w:rPr>
          <w:rFonts w:hint="cs"/>
          <w:rtl/>
        </w:rPr>
        <w:t xml:space="preserve"> </w:t>
      </w:r>
      <w:proofErr w:type="spellStart"/>
      <w:r w:rsidRPr="00C07D61">
        <w:rPr>
          <w:b/>
          <w:bCs/>
          <w:rtl/>
        </w:rPr>
        <w:t>לובל</w:t>
      </w:r>
      <w:proofErr w:type="spellEnd"/>
      <w:r w:rsidRPr="00C07D61">
        <w:rPr>
          <w:b/>
          <w:bCs/>
          <w:rtl/>
        </w:rPr>
        <w:t xml:space="preserve"> נ' ממשלת ישראל</w:t>
      </w:r>
      <w:r w:rsidRPr="00C07D61">
        <w:rPr>
          <w:rFonts w:hint="cs"/>
          <w:rtl/>
        </w:rPr>
        <w:t xml:space="preserve"> (פורסם בנבו, </w:t>
      </w:r>
      <w:r w:rsidRPr="00C07D61">
        <w:rPr>
          <w:rtl/>
        </w:rPr>
        <w:t>18.1.2006</w:t>
      </w:r>
      <w:r w:rsidRPr="00C07D61">
        <w:rPr>
          <w:rFonts w:hint="cs"/>
          <w:rtl/>
        </w:rPr>
        <w:t xml:space="preserve">); </w:t>
      </w:r>
      <w:r w:rsidRPr="00C07D61">
        <w:rPr>
          <w:rtl/>
        </w:rPr>
        <w:t xml:space="preserve">בג"ץ 8276/05 </w:t>
      </w:r>
      <w:proofErr w:type="spellStart"/>
      <w:r w:rsidRPr="00C07D61">
        <w:rPr>
          <w:b/>
          <w:bCs/>
          <w:rtl/>
        </w:rPr>
        <w:t>עדאלה</w:t>
      </w:r>
      <w:proofErr w:type="spellEnd"/>
      <w:r w:rsidRPr="00C07D61">
        <w:rPr>
          <w:b/>
          <w:bCs/>
          <w:rtl/>
        </w:rPr>
        <w:t xml:space="preserve"> נ' שר </w:t>
      </w:r>
      <w:proofErr w:type="spellStart"/>
      <w:r w:rsidRPr="00C07D61">
        <w:rPr>
          <w:b/>
          <w:bCs/>
          <w:rtl/>
        </w:rPr>
        <w:t>הבטחון</w:t>
      </w:r>
      <w:proofErr w:type="spellEnd"/>
      <w:r w:rsidRPr="00C07D61">
        <w:rPr>
          <w:rFonts w:hint="cs"/>
          <w:rtl/>
        </w:rPr>
        <w:t xml:space="preserve">, </w:t>
      </w:r>
      <w:r w:rsidRPr="00C07D61">
        <w:rPr>
          <w:rtl/>
        </w:rPr>
        <w:t>פ"ד סב(1) 1</w:t>
      </w:r>
      <w:r w:rsidRPr="00C07D61">
        <w:rPr>
          <w:rFonts w:hint="cs"/>
          <w:rtl/>
        </w:rPr>
        <w:t xml:space="preserve">, פסקה 31 (2006); </w:t>
      </w:r>
      <w:r w:rsidRPr="00C07D61">
        <w:rPr>
          <w:rtl/>
        </w:rPr>
        <w:t>בג"ץ 6972/07</w:t>
      </w:r>
      <w:r w:rsidRPr="00C07D61">
        <w:rPr>
          <w:rFonts w:hint="cs"/>
          <w:rtl/>
        </w:rPr>
        <w:t xml:space="preserve"> </w:t>
      </w:r>
      <w:proofErr w:type="spellStart"/>
      <w:r w:rsidRPr="00C07D61">
        <w:rPr>
          <w:b/>
          <w:bCs/>
          <w:rtl/>
        </w:rPr>
        <w:t>לקסר</w:t>
      </w:r>
      <w:proofErr w:type="spellEnd"/>
      <w:r w:rsidRPr="00C07D61">
        <w:rPr>
          <w:b/>
          <w:bCs/>
          <w:rtl/>
        </w:rPr>
        <w:t xml:space="preserve"> נ' שר האוצר</w:t>
      </w:r>
      <w:r w:rsidRPr="00C07D61">
        <w:rPr>
          <w:rFonts w:hint="cs"/>
          <w:rtl/>
        </w:rPr>
        <w:t xml:space="preserve">, פסקה 29 (פורסם בנבו, </w:t>
      </w:r>
      <w:r w:rsidRPr="00C07D61">
        <w:rPr>
          <w:rtl/>
        </w:rPr>
        <w:t>22.3.2009</w:t>
      </w:r>
      <w:r w:rsidRPr="00C07D61">
        <w:rPr>
          <w:rFonts w:hint="cs"/>
          <w:rtl/>
        </w:rPr>
        <w:t>)</w:t>
      </w:r>
      <w:r w:rsidR="007F57DA">
        <w:rPr>
          <w:rFonts w:hint="cs"/>
          <w:rtl/>
        </w:rPr>
        <w:t xml:space="preserve">; בג"ץ 6887/13 </w:t>
      </w:r>
      <w:proofErr w:type="spellStart"/>
      <w:r w:rsidR="001D0D10" w:rsidRPr="001D0D10">
        <w:rPr>
          <w:rFonts w:hint="cs"/>
          <w:b/>
          <w:bCs/>
          <w:rtl/>
        </w:rPr>
        <w:t>קניאס</w:t>
      </w:r>
      <w:proofErr w:type="spellEnd"/>
      <w:r w:rsidR="001D0D10" w:rsidRPr="001D0D10">
        <w:rPr>
          <w:b/>
          <w:bCs/>
          <w:rtl/>
        </w:rPr>
        <w:t xml:space="preserve"> נ' היועץ המשפטי לממשלה</w:t>
      </w:r>
      <w:r w:rsidR="007F57DA">
        <w:rPr>
          <w:rFonts w:hint="cs"/>
          <w:rtl/>
        </w:rPr>
        <w:t xml:space="preserve"> </w:t>
      </w:r>
      <w:bookmarkStart w:id="12" w:name="_GoBack"/>
      <w:bookmarkEnd w:id="12"/>
      <w:r w:rsidR="007F57DA">
        <w:rPr>
          <w:rFonts w:hint="cs"/>
          <w:rtl/>
        </w:rPr>
        <w:t>(פורסם בנבו, 12.1.2014)</w:t>
      </w:r>
      <w:r w:rsidRPr="00C07D61">
        <w:rPr>
          <w:rFonts w:hint="cs"/>
          <w:rtl/>
        </w:rPr>
        <w:t>.</w:t>
      </w:r>
    </w:p>
  </w:footnote>
  <w:footnote w:id="2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בג"ץ </w:t>
      </w:r>
      <w:proofErr w:type="spellStart"/>
      <w:r w:rsidRPr="00C07D61">
        <w:rPr>
          <w:rFonts w:hint="cs"/>
          <w:b/>
          <w:bCs/>
          <w:rtl/>
        </w:rPr>
        <w:t>עדאלה</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86608 \h  \* MERGEFORMAT ">
        <w:r w:rsidR="00DE2615">
          <w:t>23</w:t>
        </w:r>
      </w:fldSimple>
      <w:r w:rsidRPr="00C07D61">
        <w:rPr>
          <w:rFonts w:hint="cs"/>
          <w:rtl/>
        </w:rPr>
        <w:t xml:space="preserve">. כן ראו בג"ץ 6871/03 </w:t>
      </w:r>
      <w:r w:rsidRPr="00C07D61">
        <w:rPr>
          <w:rFonts w:hint="cs"/>
          <w:b/>
          <w:bCs/>
          <w:rtl/>
        </w:rPr>
        <w:t>מדינת ישראל נ' בית-הדין הארצי לעבודה</w:t>
      </w:r>
      <w:r w:rsidRPr="00C07D61">
        <w:rPr>
          <w:rFonts w:hint="cs"/>
          <w:rtl/>
        </w:rPr>
        <w:t xml:space="preserve">, פ"ד נח(2) 943, 947 (2003) (בית הדין הארצי לעבודה מוסמך "לדון ולהכריע </w:t>
      </w:r>
      <w:r w:rsidRPr="00C07D61">
        <w:rPr>
          <w:rtl/>
        </w:rPr>
        <w:t>–</w:t>
      </w:r>
      <w:r w:rsidRPr="00C07D61">
        <w:rPr>
          <w:rFonts w:hint="cs"/>
          <w:rtl/>
        </w:rPr>
        <w:t xml:space="preserve"> מכוח סמכותו הנגררת, שלא בתקיפה ישירה </w:t>
      </w:r>
      <w:r w:rsidRPr="00C07D61">
        <w:rPr>
          <w:rtl/>
        </w:rPr>
        <w:t>–</w:t>
      </w:r>
      <w:r w:rsidRPr="00C07D61">
        <w:rPr>
          <w:rFonts w:hint="cs"/>
          <w:rtl/>
        </w:rPr>
        <w:t xml:space="preserve"> בשאלת תקפותו של []חוק").  </w:t>
      </w:r>
    </w:p>
  </w:footnote>
  <w:footnote w:id="2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רע"א 3145/99</w:t>
      </w:r>
      <w:r w:rsidRPr="00C07D61">
        <w:rPr>
          <w:rFonts w:hint="cs"/>
          <w:rtl/>
        </w:rPr>
        <w:t xml:space="preserve"> </w:t>
      </w:r>
      <w:r w:rsidRPr="00C07D61">
        <w:rPr>
          <w:rFonts w:hint="cs"/>
          <w:b/>
          <w:bCs/>
          <w:rtl/>
        </w:rPr>
        <w:t>בנק לאומי לישראל נ' חזן</w:t>
      </w:r>
      <w:r w:rsidRPr="00C07D61">
        <w:rPr>
          <w:rFonts w:hint="cs"/>
          <w:rtl/>
        </w:rPr>
        <w:t xml:space="preserve">, פ"ד </w:t>
      </w:r>
      <w:proofErr w:type="spellStart"/>
      <w:r w:rsidRPr="00C07D61">
        <w:rPr>
          <w:rtl/>
        </w:rPr>
        <w:t>נז</w:t>
      </w:r>
      <w:proofErr w:type="spellEnd"/>
      <w:r w:rsidRPr="00C07D61">
        <w:rPr>
          <w:rtl/>
        </w:rPr>
        <w:t>(5) 385</w:t>
      </w:r>
      <w:r w:rsidRPr="00C07D61">
        <w:rPr>
          <w:rFonts w:hint="cs"/>
          <w:rtl/>
        </w:rPr>
        <w:t>, 396 (2003). באותו מקרה קבע בית המשפט המחוזי באופן מנומק שהוא מוסמך לבצע ביקורת שיפוטית חוקתית, אך מצא שהחוק שעמד לבחינה (</w:t>
      </w:r>
      <w:r w:rsidRPr="00C07D61">
        <w:rPr>
          <w:rtl/>
        </w:rPr>
        <w:t>חוק הסדרים במגזר החקלאי המשפחתי (תיקון מס' 2), תשנ"ו-1996</w:t>
      </w:r>
      <w:r w:rsidRPr="00C07D61">
        <w:rPr>
          <w:rFonts w:hint="cs"/>
          <w:rtl/>
        </w:rPr>
        <w:t xml:space="preserve">) עומד במבחן החוקתיות. ראו </w:t>
      </w:r>
      <w:proofErr w:type="spellStart"/>
      <w:r w:rsidRPr="00C07D61">
        <w:rPr>
          <w:rFonts w:hint="cs"/>
          <w:rtl/>
        </w:rPr>
        <w:t>ה"פ</w:t>
      </w:r>
      <w:proofErr w:type="spellEnd"/>
      <w:r w:rsidRPr="00C07D61">
        <w:rPr>
          <w:rFonts w:hint="cs"/>
          <w:rtl/>
        </w:rPr>
        <w:t xml:space="preserve"> (מח' ת"א) 1276/96 </w:t>
      </w:r>
      <w:r w:rsidRPr="00C07D61">
        <w:rPr>
          <w:rFonts w:hint="cs"/>
          <w:b/>
          <w:bCs/>
          <w:rtl/>
        </w:rPr>
        <w:t>בנק לאומי לישראל נ' חזן</w:t>
      </w:r>
      <w:r w:rsidRPr="00C07D61">
        <w:rPr>
          <w:rFonts w:hint="cs"/>
          <w:rtl/>
        </w:rPr>
        <w:t xml:space="preserve"> (פורסם בנבו, 10.3.1999). שאלת הסמכות נותרה אפוא בגדר הערת אגב, וממילא בית המשפט העליון אישר את ההחלטה לגופה ולא נדרש לה גם כן. </w:t>
      </w:r>
    </w:p>
  </w:footnote>
  <w:footnote w:id="27">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ע"ש (ת"א) 739/96 </w:t>
      </w:r>
      <w:proofErr w:type="spellStart"/>
      <w:r w:rsidRPr="00C07D61">
        <w:rPr>
          <w:rFonts w:hint="cs"/>
          <w:b/>
          <w:bCs/>
          <w:rtl/>
        </w:rPr>
        <w:t>יקירביץ</w:t>
      </w:r>
      <w:proofErr w:type="spellEnd"/>
      <w:r w:rsidRPr="00C07D61">
        <w:rPr>
          <w:rFonts w:hint="cs"/>
          <w:b/>
          <w:bCs/>
          <w:rtl/>
        </w:rPr>
        <w:t>' מנכ"ל משרד הבריאות</w:t>
      </w:r>
      <w:r w:rsidRPr="00C07D61">
        <w:rPr>
          <w:rFonts w:hint="cs"/>
          <w:rtl/>
        </w:rPr>
        <w:t xml:space="preserve">, פרק 14 לפסק הדין (פורסם בנבו, 10.9.1996) (סעיף 44א </w:t>
      </w:r>
      <w:r w:rsidRPr="00C07D61">
        <w:rPr>
          <w:rtl/>
        </w:rPr>
        <w:t>לפקודת הרופאים [נוסח חדש] תשל"ז- 1976</w:t>
      </w:r>
      <w:r w:rsidRPr="00C07D61">
        <w:rPr>
          <w:rFonts w:hint="cs"/>
          <w:rtl/>
        </w:rPr>
        <w:t xml:space="preserve">); וע' (מח' י-ם) 6048/03 </w:t>
      </w:r>
      <w:r w:rsidRPr="00C07D61">
        <w:rPr>
          <w:rFonts w:hint="cs"/>
          <w:b/>
          <w:bCs/>
          <w:rtl/>
        </w:rPr>
        <w:t>כהן נ' מדינת ישראל</w:t>
      </w:r>
      <w:r w:rsidRPr="00C07D61">
        <w:rPr>
          <w:rFonts w:hint="cs"/>
          <w:rtl/>
        </w:rPr>
        <w:t xml:space="preserve"> (פורסם בנבו, 29.2.2004) (</w:t>
      </w:r>
      <w:r w:rsidRPr="00C07D61">
        <w:rPr>
          <w:rtl/>
        </w:rPr>
        <w:t>חוק שירות הציבור (הגבלות לאחר פרישה), תשכ"ט-1969</w:t>
      </w:r>
      <w:r w:rsidRPr="00C07D61">
        <w:rPr>
          <w:rFonts w:hint="cs"/>
          <w:rtl/>
        </w:rPr>
        <w:t xml:space="preserve">); </w:t>
      </w:r>
      <w:r w:rsidRPr="00C07D61">
        <w:rPr>
          <w:rtl/>
        </w:rPr>
        <w:t>עב</w:t>
      </w:r>
      <w:r w:rsidRPr="00C07D61">
        <w:rPr>
          <w:rFonts w:hint="cs"/>
          <w:rtl/>
        </w:rPr>
        <w:t>"</w:t>
      </w:r>
      <w:r w:rsidRPr="00C07D61">
        <w:rPr>
          <w:rtl/>
        </w:rPr>
        <w:t>ל</w:t>
      </w:r>
      <w:r w:rsidRPr="00C07D61">
        <w:rPr>
          <w:rFonts w:hint="cs"/>
          <w:rtl/>
        </w:rPr>
        <w:t xml:space="preserve"> </w:t>
      </w:r>
      <w:r w:rsidRPr="00C07D61">
        <w:rPr>
          <w:rtl/>
        </w:rPr>
        <w:t>461/03</w:t>
      </w:r>
      <w:r w:rsidRPr="00C07D61">
        <w:rPr>
          <w:rFonts w:hint="cs"/>
          <w:rtl/>
        </w:rPr>
        <w:t xml:space="preserve"> </w:t>
      </w:r>
      <w:proofErr w:type="spellStart"/>
      <w:r w:rsidRPr="00C07D61">
        <w:rPr>
          <w:rFonts w:hint="cs"/>
          <w:b/>
          <w:bCs/>
          <w:rtl/>
        </w:rPr>
        <w:t>עזרוב</w:t>
      </w:r>
      <w:proofErr w:type="spellEnd"/>
      <w:r w:rsidRPr="00C07D61">
        <w:rPr>
          <w:rFonts w:hint="cs"/>
          <w:b/>
          <w:bCs/>
          <w:rtl/>
        </w:rPr>
        <w:t xml:space="preserve"> נ' המוסד לביטוח לאומי</w:t>
      </w:r>
      <w:r w:rsidRPr="00C07D61">
        <w:rPr>
          <w:rFonts w:hint="cs"/>
          <w:rtl/>
        </w:rPr>
        <w:t xml:space="preserve"> (פורסם בנבו, 2.9.2004) (</w:t>
      </w:r>
      <w:r w:rsidRPr="00C07D61">
        <w:rPr>
          <w:rFonts w:hint="eastAsia"/>
          <w:rtl/>
        </w:rPr>
        <w:t>§</w:t>
      </w:r>
      <w:r w:rsidRPr="00C07D61">
        <w:rPr>
          <w:rtl/>
        </w:rPr>
        <w:t>348(ב) לחוק הביטוח הלאומי</w:t>
      </w:r>
      <w:r w:rsidRPr="00C07D61">
        <w:rPr>
          <w:rFonts w:hint="cs"/>
          <w:rtl/>
        </w:rPr>
        <w:t xml:space="preserve"> [נוסח משולב], התשנ"ה-1995); תיק ערעור (</w:t>
      </w:r>
      <w:proofErr w:type="spellStart"/>
      <w:r w:rsidRPr="00C07D61">
        <w:rPr>
          <w:rFonts w:hint="cs"/>
          <w:rtl/>
        </w:rPr>
        <w:t>ביד"ר</w:t>
      </w:r>
      <w:proofErr w:type="spellEnd"/>
      <w:r w:rsidRPr="00C07D61">
        <w:rPr>
          <w:rFonts w:hint="cs"/>
          <w:rtl/>
        </w:rPr>
        <w:t xml:space="preserve"> גדול) מס' 1-13-002793529 </w:t>
      </w:r>
      <w:r w:rsidRPr="00C07D61">
        <w:rPr>
          <w:rFonts w:hint="cs"/>
          <w:b/>
          <w:bCs/>
          <w:rtl/>
        </w:rPr>
        <w:t>פלוני נ' פלונית</w:t>
      </w:r>
      <w:r w:rsidRPr="00C07D61">
        <w:rPr>
          <w:rFonts w:hint="cs"/>
          <w:rtl/>
        </w:rPr>
        <w:t xml:space="preserve">, עמ' 24 לפסק הדין (פורסם בנבו, 4.4.2005) (ס' </w:t>
      </w:r>
      <w:r w:rsidRPr="00C07D61">
        <w:rPr>
          <w:rFonts w:hint="eastAsia"/>
          <w:rtl/>
        </w:rPr>
        <w:t>53ב ל</w:t>
      </w:r>
      <w:r w:rsidRPr="00C07D61">
        <w:rPr>
          <w:rtl/>
        </w:rPr>
        <w:t>חוק לשכת עורכי הדין, תשכ"א-1961</w:t>
      </w:r>
      <w:r w:rsidRPr="00C07D61">
        <w:rPr>
          <w:rFonts w:hint="cs"/>
          <w:rtl/>
        </w:rPr>
        <w:t xml:space="preserve">); ב"ש (תעבורה רמלה) 408/06 </w:t>
      </w:r>
      <w:r w:rsidRPr="00C07D61">
        <w:rPr>
          <w:rFonts w:hint="cs"/>
          <w:b/>
          <w:bCs/>
          <w:rtl/>
        </w:rPr>
        <w:t>בשארה נ' מדינת ישראל</w:t>
      </w:r>
      <w:r w:rsidRPr="00C07D61">
        <w:rPr>
          <w:rFonts w:hint="cs"/>
          <w:rtl/>
        </w:rPr>
        <w:t xml:space="preserve">, פסקה 10 (פורסם בנבו, 4.7.2006) (ס' 57א לפקודת התעבורה [נוסח חדש]); ת"א (שלום רמלה) 4012/05 </w:t>
      </w:r>
      <w:r w:rsidRPr="00C07D61">
        <w:rPr>
          <w:rFonts w:hint="cs"/>
          <w:b/>
          <w:bCs/>
          <w:rtl/>
        </w:rPr>
        <w:t xml:space="preserve">עיריית ראשון לציון נ' ברזילי, </w:t>
      </w:r>
      <w:r w:rsidRPr="00C07D61">
        <w:rPr>
          <w:rFonts w:hint="cs"/>
          <w:rtl/>
        </w:rPr>
        <w:t>עמ' 6 לפסק הדין (פורסם בנבו, 27.7.2006) (</w:t>
      </w:r>
      <w:r w:rsidRPr="00C07D61">
        <w:rPr>
          <w:rtl/>
        </w:rPr>
        <w:t>ס</w:t>
      </w:r>
      <w:r w:rsidRPr="00C07D61">
        <w:rPr>
          <w:rFonts w:hint="cs"/>
          <w:rtl/>
        </w:rPr>
        <w:t>'</w:t>
      </w:r>
      <w:r w:rsidRPr="00C07D61">
        <w:rPr>
          <w:rtl/>
        </w:rPr>
        <w:t xml:space="preserve"> 8 לחוק הסדרים במשק המדינה (תיקוני חקיקה להשגת יעדי התקציב), תשנ"ג-1992</w:t>
      </w:r>
      <w:r w:rsidRPr="00C07D61">
        <w:rPr>
          <w:rFonts w:hint="cs"/>
          <w:rtl/>
        </w:rPr>
        <w:t xml:space="preserve">); </w:t>
      </w:r>
      <w:r w:rsidRPr="00C07D61">
        <w:rPr>
          <w:rtl/>
        </w:rPr>
        <w:t>ב</w:t>
      </w:r>
      <w:r w:rsidRPr="00C07D61">
        <w:rPr>
          <w:rFonts w:hint="cs"/>
          <w:rtl/>
        </w:rPr>
        <w:t>"</w:t>
      </w:r>
      <w:r w:rsidRPr="00C07D61">
        <w:rPr>
          <w:rtl/>
        </w:rPr>
        <w:t>ש (</w:t>
      </w:r>
      <w:r w:rsidRPr="00C07D61">
        <w:rPr>
          <w:rFonts w:hint="cs"/>
          <w:rtl/>
        </w:rPr>
        <w:t xml:space="preserve">מח' </w:t>
      </w:r>
      <w:r w:rsidRPr="00C07D61">
        <w:rPr>
          <w:rtl/>
        </w:rPr>
        <w:t>י-ם) 5291/08 ‏</w:t>
      </w:r>
      <w:r w:rsidRPr="00C07D61">
        <w:rPr>
          <w:b/>
          <w:bCs/>
          <w:rtl/>
        </w:rPr>
        <w:t>אברג'יל נ' היועץ המשפטי לממשלה</w:t>
      </w:r>
      <w:r w:rsidRPr="00C07D61">
        <w:rPr>
          <w:rFonts w:hint="cs"/>
          <w:rtl/>
        </w:rPr>
        <w:t xml:space="preserve"> (פורסם בנבו, 16.10.2008) (</w:t>
      </w:r>
      <w:r w:rsidRPr="00C07D61">
        <w:rPr>
          <w:rtl/>
        </w:rPr>
        <w:t xml:space="preserve">חוק ההסגרה (תיקון מס' 6), </w:t>
      </w:r>
      <w:proofErr w:type="spellStart"/>
      <w:r w:rsidRPr="00C07D61">
        <w:rPr>
          <w:rtl/>
        </w:rPr>
        <w:t>התשנ"ט</w:t>
      </w:r>
      <w:proofErr w:type="spellEnd"/>
      <w:r w:rsidRPr="00C07D61">
        <w:rPr>
          <w:rtl/>
        </w:rPr>
        <w:t>-1999</w:t>
      </w:r>
      <w:r w:rsidRPr="00C07D61">
        <w:rPr>
          <w:rFonts w:hint="cs"/>
          <w:rtl/>
        </w:rPr>
        <w:t xml:space="preserve">); </w:t>
      </w:r>
      <w:proofErr w:type="spellStart"/>
      <w:r w:rsidRPr="00C07D61">
        <w:rPr>
          <w:rFonts w:hint="cs"/>
          <w:rtl/>
        </w:rPr>
        <w:t>ב"ל</w:t>
      </w:r>
      <w:proofErr w:type="spellEnd"/>
      <w:r w:rsidRPr="00C07D61">
        <w:rPr>
          <w:rFonts w:hint="cs"/>
          <w:rtl/>
        </w:rPr>
        <w:t xml:space="preserve"> (ב"ש) </w:t>
      </w:r>
      <w:proofErr w:type="spellStart"/>
      <w:r w:rsidRPr="00C07D61">
        <w:rPr>
          <w:rFonts w:hint="cs"/>
          <w:rtl/>
        </w:rPr>
        <w:t>4814-07-11</w:t>
      </w:r>
      <w:proofErr w:type="spellEnd"/>
      <w:r w:rsidRPr="00C07D61">
        <w:rPr>
          <w:rFonts w:hint="cs"/>
          <w:rtl/>
        </w:rPr>
        <w:t xml:space="preserve">‏ </w:t>
      </w:r>
      <w:proofErr w:type="spellStart"/>
      <w:r w:rsidRPr="00C07D61">
        <w:rPr>
          <w:rFonts w:hint="cs"/>
          <w:rtl/>
        </w:rPr>
        <w:t>‏</w:t>
      </w:r>
      <w:proofErr w:type="spellEnd"/>
      <w:r w:rsidRPr="00C07D61">
        <w:rPr>
          <w:rFonts w:hint="cs"/>
          <w:rtl/>
        </w:rPr>
        <w:t xml:space="preserve"> </w:t>
      </w:r>
      <w:r w:rsidRPr="00C07D61">
        <w:rPr>
          <w:rFonts w:hint="cs"/>
          <w:b/>
          <w:bCs/>
          <w:rtl/>
        </w:rPr>
        <w:t>ברקאי נ' המוסד לביטוח לאומי</w:t>
      </w:r>
      <w:r w:rsidRPr="00C07D61">
        <w:rPr>
          <w:rFonts w:hint="cs"/>
          <w:rtl/>
        </w:rPr>
        <w:t>, פסקאות 13-11 (פורסם בנבו, 19.3.2012) (</w:t>
      </w:r>
      <w:r w:rsidRPr="00C07D61">
        <w:rPr>
          <w:rtl/>
        </w:rPr>
        <w:t>ס</w:t>
      </w:r>
      <w:r w:rsidRPr="00C07D61">
        <w:rPr>
          <w:rFonts w:hint="cs"/>
          <w:rtl/>
        </w:rPr>
        <w:t>'</w:t>
      </w:r>
      <w:r w:rsidRPr="00C07D61">
        <w:rPr>
          <w:rtl/>
        </w:rPr>
        <w:t xml:space="preserve"> 150 לחוק הביטוח הלאומי [נוסח משולב], תשנ"ה</w:t>
      </w:r>
      <w:r w:rsidRPr="00C07D61">
        <w:rPr>
          <w:rFonts w:hint="cs"/>
          <w:rtl/>
        </w:rPr>
        <w:t>-</w:t>
      </w:r>
      <w:r w:rsidRPr="00C07D61">
        <w:rPr>
          <w:rtl/>
        </w:rPr>
        <w:t>1995</w:t>
      </w:r>
      <w:r w:rsidRPr="00C07D61">
        <w:rPr>
          <w:rFonts w:hint="cs"/>
          <w:rtl/>
        </w:rPr>
        <w:t xml:space="preserve">); </w:t>
      </w:r>
      <w:proofErr w:type="spellStart"/>
      <w:r w:rsidRPr="00C07D61">
        <w:rPr>
          <w:rtl/>
        </w:rPr>
        <w:t>עת</w:t>
      </w:r>
      <w:r w:rsidRPr="00C07D61">
        <w:rPr>
          <w:rFonts w:hint="cs"/>
          <w:rtl/>
        </w:rPr>
        <w:t>"</w:t>
      </w:r>
      <w:r w:rsidRPr="00C07D61">
        <w:rPr>
          <w:rtl/>
        </w:rPr>
        <w:t>מ</w:t>
      </w:r>
      <w:proofErr w:type="spellEnd"/>
      <w:r w:rsidRPr="00C07D61">
        <w:rPr>
          <w:rtl/>
        </w:rPr>
        <w:t xml:space="preserve"> (ב"ש) </w:t>
      </w:r>
      <w:proofErr w:type="spellStart"/>
      <w:r w:rsidRPr="00C07D61">
        <w:rPr>
          <w:rtl/>
        </w:rPr>
        <w:t>21001-10-12</w:t>
      </w:r>
      <w:proofErr w:type="spellEnd"/>
      <w:r w:rsidRPr="00C07D61">
        <w:rPr>
          <w:rtl/>
        </w:rPr>
        <w:t xml:space="preserve">‏ </w:t>
      </w:r>
      <w:proofErr w:type="spellStart"/>
      <w:r w:rsidRPr="00C07D61">
        <w:rPr>
          <w:b/>
          <w:bCs/>
          <w:rtl/>
        </w:rPr>
        <w:t>טהנגס</w:t>
      </w:r>
      <w:proofErr w:type="spellEnd"/>
      <w:r w:rsidRPr="00C07D61">
        <w:rPr>
          <w:b/>
          <w:bCs/>
          <w:rtl/>
        </w:rPr>
        <w:t xml:space="preserve"> נ' משרד הפנים</w:t>
      </w:r>
      <w:r w:rsidRPr="00C07D61">
        <w:rPr>
          <w:rFonts w:hint="cs"/>
          <w:rtl/>
        </w:rPr>
        <w:t>, פסקה 10 (פורסם בנבו, 17.1.2013) (ס' 30א ל</w:t>
      </w:r>
      <w:r w:rsidRPr="00C07D61">
        <w:rPr>
          <w:rtl/>
        </w:rPr>
        <w:t>חוק למניעת הסתננות (עבירות ושיפוט), תשי"ד-1954</w:t>
      </w:r>
      <w:r w:rsidRPr="00C07D61">
        <w:rPr>
          <w:rFonts w:hint="cs"/>
          <w:rtl/>
        </w:rPr>
        <w:t xml:space="preserve">). </w:t>
      </w:r>
    </w:p>
  </w:footnote>
  <w:footnote w:id="2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proofErr w:type="spellStart"/>
      <w:r w:rsidRPr="00C07D61">
        <w:rPr>
          <w:rFonts w:hint="cs"/>
          <w:rtl/>
        </w:rPr>
        <w:t>ה"פ</w:t>
      </w:r>
      <w:proofErr w:type="spellEnd"/>
      <w:r w:rsidRPr="00C07D61">
        <w:rPr>
          <w:rFonts w:hint="cs"/>
          <w:rtl/>
        </w:rPr>
        <w:t xml:space="preserve"> </w:t>
      </w:r>
      <w:r w:rsidRPr="00C07D61">
        <w:rPr>
          <w:rFonts w:hint="cs"/>
          <w:b/>
          <w:bCs/>
          <w:rtl/>
        </w:rPr>
        <w:t>חזן</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684 \h  \* MERGEFORMAT ">
        <w:r w:rsidR="00DE2615">
          <w:t>25</w:t>
        </w:r>
      </w:fldSimple>
      <w:r w:rsidRPr="00C07D61">
        <w:rPr>
          <w:rFonts w:hint="cs"/>
          <w:rtl/>
        </w:rPr>
        <w:t xml:space="preserve">; </w:t>
      </w:r>
      <w:proofErr w:type="spellStart"/>
      <w:r w:rsidRPr="00C07D61">
        <w:rPr>
          <w:rtl/>
        </w:rPr>
        <w:t>ה"פ</w:t>
      </w:r>
      <w:proofErr w:type="spellEnd"/>
      <w:r w:rsidRPr="00C07D61">
        <w:rPr>
          <w:rtl/>
        </w:rPr>
        <w:t xml:space="preserve"> (</w:t>
      </w:r>
      <w:r w:rsidRPr="00C07D61">
        <w:rPr>
          <w:rFonts w:hint="cs"/>
          <w:rtl/>
        </w:rPr>
        <w:t xml:space="preserve">מח' </w:t>
      </w:r>
      <w:r w:rsidRPr="00C07D61">
        <w:rPr>
          <w:rtl/>
        </w:rPr>
        <w:t>ת"א) 1848/97</w:t>
      </w:r>
      <w:r w:rsidRPr="00C07D61">
        <w:rPr>
          <w:rFonts w:hint="cs"/>
          <w:rtl/>
        </w:rPr>
        <w:t xml:space="preserve"> </w:t>
      </w:r>
      <w:r w:rsidRPr="00C07D61">
        <w:rPr>
          <w:b/>
          <w:bCs/>
          <w:rtl/>
        </w:rPr>
        <w:t xml:space="preserve">יורשי מוסא </w:t>
      </w:r>
      <w:proofErr w:type="spellStart"/>
      <w:r w:rsidRPr="00C07D61">
        <w:rPr>
          <w:b/>
          <w:bCs/>
          <w:rtl/>
        </w:rPr>
        <w:t>חסונא</w:t>
      </w:r>
      <w:proofErr w:type="spellEnd"/>
      <w:r w:rsidRPr="00C07D61">
        <w:rPr>
          <w:b/>
          <w:bCs/>
          <w:rtl/>
        </w:rPr>
        <w:t xml:space="preserve"> נ' שר האוצר</w:t>
      </w:r>
      <w:r w:rsidRPr="00C07D61">
        <w:rPr>
          <w:rFonts w:hint="cs"/>
          <w:rtl/>
        </w:rPr>
        <w:t xml:space="preserve">, פסקות 11-10 (פורסם בנבו, </w:t>
      </w:r>
      <w:r w:rsidRPr="00C07D61">
        <w:rPr>
          <w:rtl/>
        </w:rPr>
        <w:t>6.3.2006</w:t>
      </w:r>
      <w:r w:rsidRPr="00C07D61">
        <w:rPr>
          <w:rFonts w:hint="cs"/>
          <w:rtl/>
        </w:rPr>
        <w:t>).</w:t>
      </w:r>
    </w:p>
  </w:footnote>
  <w:footnote w:id="2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rtl/>
        </w:rPr>
        <w:t xml:space="preserve">ב"ש (שלום כפ"ס) 2809/04 </w:t>
      </w:r>
      <w:r w:rsidRPr="00C07D61">
        <w:rPr>
          <w:b/>
          <w:bCs/>
          <w:rtl/>
        </w:rPr>
        <w:t>סולטאן נ' משרד התשתיות הלאומיות</w:t>
      </w:r>
      <w:r w:rsidRPr="00C07D61">
        <w:rPr>
          <w:rFonts w:hint="cs"/>
          <w:rtl/>
        </w:rPr>
        <w:t xml:space="preserve"> (פורסם בנבו, </w:t>
      </w:r>
      <w:r w:rsidRPr="00C07D61">
        <w:rPr>
          <w:rtl/>
        </w:rPr>
        <w:t>16.8.2004</w:t>
      </w:r>
      <w:r w:rsidRPr="00C07D61">
        <w:rPr>
          <w:rFonts w:hint="cs"/>
          <w:rtl/>
        </w:rPr>
        <w:t xml:space="preserve">); </w:t>
      </w:r>
      <w:proofErr w:type="spellStart"/>
      <w:r w:rsidRPr="00C07D61">
        <w:rPr>
          <w:rFonts w:hint="cs"/>
          <w:rtl/>
        </w:rPr>
        <w:t>עת"מ</w:t>
      </w:r>
      <w:proofErr w:type="spellEnd"/>
      <w:r w:rsidRPr="00C07D61">
        <w:rPr>
          <w:rFonts w:hint="cs"/>
          <w:rtl/>
        </w:rPr>
        <w:t xml:space="preserve"> (ת"א) 1817/08 </w:t>
      </w:r>
      <w:proofErr w:type="spellStart"/>
      <w:r w:rsidRPr="00C07D61">
        <w:rPr>
          <w:rFonts w:hint="cs"/>
          <w:b/>
          <w:bCs/>
          <w:rtl/>
        </w:rPr>
        <w:t>נייסשלוס</w:t>
      </w:r>
      <w:proofErr w:type="spellEnd"/>
      <w:r w:rsidRPr="00C07D61">
        <w:rPr>
          <w:rFonts w:hint="cs"/>
          <w:b/>
          <w:bCs/>
          <w:rtl/>
        </w:rPr>
        <w:t xml:space="preserve"> נ' הוועדה המקומית לתכנון ובניה, עירית כפר סבא, </w:t>
      </w:r>
      <w:r w:rsidRPr="00C07D61">
        <w:rPr>
          <w:rFonts w:hint="cs"/>
          <w:rtl/>
        </w:rPr>
        <w:t xml:space="preserve">עמ' 6 לפסק הדין (פורסם בנבו, 13.07.2009) (דחיית הטענה החוקתית לגופה תוך קביעה שהחלטה אחרת </w:t>
      </w:r>
      <w:proofErr w:type="spellStart"/>
      <w:r w:rsidRPr="00C07D61">
        <w:rPr>
          <w:rFonts w:hint="cs"/>
          <w:rtl/>
        </w:rPr>
        <w:t>היתה</w:t>
      </w:r>
      <w:proofErr w:type="spellEnd"/>
      <w:r w:rsidRPr="00C07D61">
        <w:rPr>
          <w:rFonts w:hint="cs"/>
          <w:rtl/>
        </w:rPr>
        <w:t xml:space="preserve"> מחייבת העברת העניין לבית המשפט העליון); </w:t>
      </w:r>
      <w:proofErr w:type="spellStart"/>
      <w:r w:rsidRPr="00C07D61">
        <w:rPr>
          <w:rFonts w:hint="cs"/>
          <w:rtl/>
        </w:rPr>
        <w:t>ה"פ</w:t>
      </w:r>
      <w:proofErr w:type="spellEnd"/>
      <w:r w:rsidRPr="00C07D61">
        <w:rPr>
          <w:rFonts w:hint="cs"/>
          <w:rtl/>
        </w:rPr>
        <w:t xml:space="preserve"> (מח' חיפה) 18682-01-13 </w:t>
      </w:r>
      <w:r w:rsidRPr="00C07D61">
        <w:rPr>
          <w:rFonts w:hint="cs"/>
          <w:b/>
          <w:bCs/>
          <w:rtl/>
        </w:rPr>
        <w:t>כרמון נ' מעינות העמקים בע"מ</w:t>
      </w:r>
      <w:r w:rsidRPr="00C07D61">
        <w:rPr>
          <w:rFonts w:hint="cs"/>
          <w:rtl/>
        </w:rPr>
        <w:t xml:space="preserve">, פסקאות 19-18 (פורסם בנבו, 13.6.2013). כן ראו החלטת השופט </w:t>
      </w:r>
      <w:proofErr w:type="spellStart"/>
      <w:r w:rsidRPr="00C07D61">
        <w:rPr>
          <w:rFonts w:hint="cs"/>
          <w:rtl/>
        </w:rPr>
        <w:t>מישאל</w:t>
      </w:r>
      <w:proofErr w:type="spellEnd"/>
      <w:r w:rsidRPr="00C07D61">
        <w:rPr>
          <w:rFonts w:hint="cs"/>
          <w:rtl/>
        </w:rPr>
        <w:t xml:space="preserve"> חשין, יושב-ראש ועדת הבחירות המרכזית, בעניין שאול מופז, מועמד בבחירות לכנסת השש-עשרה, </w:t>
      </w:r>
      <w:proofErr w:type="spellStart"/>
      <w:r w:rsidRPr="00C07D61">
        <w:rPr>
          <w:rFonts w:hint="cs"/>
          <w:rtl/>
        </w:rPr>
        <w:t>פ"מ</w:t>
      </w:r>
      <w:proofErr w:type="spellEnd"/>
      <w:r w:rsidRPr="00C07D61">
        <w:rPr>
          <w:rFonts w:hint="cs"/>
          <w:rtl/>
        </w:rPr>
        <w:t xml:space="preserve"> 13/16 (25.12.2002), פסקה 13 ("בתפקידי כיושב-ראש ועדת הבחירות המרכזית אינני רואה עצמי מוסמך להידרש לטענה כי חוק הכנסת חורג מהוראותיו של חוק יסוד ועל-כן לא אדון בטענה לגופה") (</w:t>
      </w:r>
      <w:hyperlink r:id="rId2" w:history="1">
        <w:r w:rsidRPr="00C07D61">
          <w:rPr>
            <w:rStyle w:val="Hyperlink"/>
          </w:rPr>
          <w:t>http://tinyurl.com/jvs2wcc</w:t>
        </w:r>
      </w:hyperlink>
      <w:r w:rsidRPr="00C07D61">
        <w:rPr>
          <w:rFonts w:hint="cs"/>
          <w:rtl/>
        </w:rPr>
        <w:t xml:space="preserve">). </w:t>
      </w:r>
    </w:p>
  </w:footnote>
  <w:footnote w:id="30">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ב"ש </w:t>
      </w:r>
      <w:r w:rsidRPr="00C07D61">
        <w:rPr>
          <w:rFonts w:hint="cs"/>
          <w:b/>
          <w:bCs/>
          <w:rtl/>
        </w:rPr>
        <w:t>בשארה</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01 \h  \* MERGEFORMAT ">
        <w:r w:rsidR="00DE2615">
          <w:t>26</w:t>
        </w:r>
      </w:fldSimple>
      <w:r w:rsidRPr="00C07D61">
        <w:rPr>
          <w:rFonts w:hint="cs"/>
          <w:rtl/>
        </w:rPr>
        <w:t xml:space="preserve">; </w:t>
      </w:r>
      <w:r w:rsidRPr="00C07D61">
        <w:rPr>
          <w:rtl/>
        </w:rPr>
        <w:t>ע"ע</w:t>
      </w:r>
      <w:r w:rsidRPr="00C07D61">
        <w:rPr>
          <w:rFonts w:hint="cs"/>
          <w:rtl/>
        </w:rPr>
        <w:t xml:space="preserve"> </w:t>
      </w:r>
      <w:r w:rsidRPr="00C07D61">
        <w:rPr>
          <w:rtl/>
        </w:rPr>
        <w:t>209</w:t>
      </w:r>
      <w:r w:rsidRPr="00C07D61">
        <w:rPr>
          <w:rFonts w:hint="cs"/>
          <w:rtl/>
        </w:rPr>
        <w:t>/</w:t>
      </w:r>
      <w:r w:rsidRPr="00C07D61">
        <w:rPr>
          <w:rtl/>
        </w:rPr>
        <w:t xml:space="preserve">10 </w:t>
      </w:r>
      <w:r w:rsidRPr="00C07D61">
        <w:rPr>
          <w:b/>
          <w:bCs/>
          <w:rtl/>
        </w:rPr>
        <w:t>וינברגר נ' אוניברסיטת בר-אילן</w:t>
      </w:r>
      <w:r w:rsidRPr="00C07D61">
        <w:rPr>
          <w:rFonts w:hint="cs"/>
          <w:rtl/>
        </w:rPr>
        <w:t>, פסקה 63</w:t>
      </w:r>
      <w:r w:rsidRPr="00C07D61">
        <w:rPr>
          <w:rtl/>
        </w:rPr>
        <w:t xml:space="preserve"> (</w:t>
      </w:r>
      <w:r w:rsidRPr="00C07D61">
        <w:rPr>
          <w:rFonts w:hint="cs"/>
          <w:rtl/>
        </w:rPr>
        <w:t>פורסם בנבו,</w:t>
      </w:r>
      <w:r w:rsidRPr="00C07D61">
        <w:rPr>
          <w:rtl/>
        </w:rPr>
        <w:t xml:space="preserve"> 6.12.2012)</w:t>
      </w:r>
      <w:r w:rsidRPr="00C07D61">
        <w:rPr>
          <w:rFonts w:hint="cs"/>
          <w:rtl/>
        </w:rPr>
        <w:t>.</w:t>
      </w:r>
    </w:p>
  </w:footnote>
  <w:footnote w:id="31">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rtl/>
        </w:rPr>
        <w:t>בש</w:t>
      </w:r>
      <w:r w:rsidRPr="00C07D61">
        <w:rPr>
          <w:rFonts w:hint="cs"/>
          <w:rtl/>
        </w:rPr>
        <w:t>"</w:t>
      </w:r>
      <w:r w:rsidRPr="00C07D61">
        <w:rPr>
          <w:rtl/>
        </w:rPr>
        <w:t>א (</w:t>
      </w:r>
      <w:r w:rsidRPr="00C07D61">
        <w:rPr>
          <w:rFonts w:hint="cs"/>
          <w:rtl/>
        </w:rPr>
        <w:t xml:space="preserve">מח' </w:t>
      </w:r>
      <w:r w:rsidRPr="00C07D61">
        <w:rPr>
          <w:rtl/>
        </w:rPr>
        <w:t>י-ם) 553</w:t>
      </w:r>
      <w:r w:rsidRPr="00C07D61">
        <w:rPr>
          <w:rFonts w:hint="cs"/>
          <w:rtl/>
        </w:rPr>
        <w:t>/</w:t>
      </w:r>
      <w:proofErr w:type="spellStart"/>
      <w:r w:rsidRPr="00C07D61">
        <w:rPr>
          <w:rtl/>
        </w:rPr>
        <w:t>03</w:t>
      </w:r>
      <w:proofErr w:type="spellEnd"/>
      <w:r w:rsidRPr="00C07D61">
        <w:rPr>
          <w:rtl/>
        </w:rPr>
        <w:t xml:space="preserve">‏ </w:t>
      </w:r>
      <w:proofErr w:type="spellStart"/>
      <w:r w:rsidRPr="00C07D61">
        <w:rPr>
          <w:rtl/>
        </w:rPr>
        <w:t>‏</w:t>
      </w:r>
      <w:proofErr w:type="spellEnd"/>
      <w:r w:rsidRPr="00C07D61">
        <w:rPr>
          <w:rtl/>
        </w:rPr>
        <w:t xml:space="preserve"> </w:t>
      </w:r>
      <w:r w:rsidRPr="00C07D61">
        <w:rPr>
          <w:b/>
          <w:bCs/>
          <w:rtl/>
        </w:rPr>
        <w:t xml:space="preserve">מדינת ישראל נ' </w:t>
      </w:r>
      <w:proofErr w:type="spellStart"/>
      <w:r w:rsidRPr="00C07D61">
        <w:rPr>
          <w:b/>
          <w:bCs/>
          <w:rtl/>
        </w:rPr>
        <w:t>נבילי</w:t>
      </w:r>
      <w:proofErr w:type="spellEnd"/>
      <w:r w:rsidRPr="00C07D61">
        <w:rPr>
          <w:rFonts w:hint="cs"/>
          <w:rtl/>
        </w:rPr>
        <w:t xml:space="preserve"> (פורסם בנבו, 18.6.2010); </w:t>
      </w:r>
      <w:r w:rsidRPr="00C07D61">
        <w:rPr>
          <w:rtl/>
        </w:rPr>
        <w:t xml:space="preserve">ע"ע </w:t>
      </w:r>
      <w:r w:rsidRPr="00C07D61">
        <w:rPr>
          <w:b/>
          <w:bCs/>
          <w:rtl/>
        </w:rPr>
        <w:t>וינברגר</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17 \h  \* MERGEFORMAT ">
        <w:r w:rsidR="00DE2615">
          <w:t>29</w:t>
        </w:r>
      </w:fldSimple>
      <w:r w:rsidRPr="00C07D61">
        <w:rPr>
          <w:rFonts w:hint="cs"/>
          <w:rtl/>
        </w:rPr>
        <w:t xml:space="preserve">. </w:t>
      </w:r>
    </w:p>
  </w:footnote>
  <w:footnote w:id="32">
    <w:p w:rsidR="009F0DE7" w:rsidRPr="00C07D61" w:rsidRDefault="009F0DE7" w:rsidP="00511BD0">
      <w:pPr>
        <w:pStyle w:val="FootnoteText"/>
        <w:spacing w:afterLines="40"/>
        <w:jc w:val="both"/>
        <w:rPr>
          <w:rStyle w:val="FootnoteReference"/>
          <w:rtl/>
        </w:rPr>
      </w:pPr>
      <w:r w:rsidRPr="00C07D61">
        <w:rPr>
          <w:rStyle w:val="FootnoteReference"/>
        </w:rPr>
        <w:footnoteRef/>
      </w:r>
      <w:r w:rsidRPr="00C07D61">
        <w:rPr>
          <w:rStyle w:val="FootnoteReference"/>
          <w:rtl/>
        </w:rPr>
        <w:t xml:space="preserve"> </w:t>
      </w:r>
      <w:r w:rsidRPr="00C07D61">
        <w:rPr>
          <w:rStyle w:val="FootnoteReference"/>
          <w:rFonts w:hint="cs"/>
          <w:vertAlign w:val="baseline"/>
          <w:rtl/>
        </w:rPr>
        <w:t xml:space="preserve">ראו </w:t>
      </w:r>
      <w:r w:rsidRPr="00C07D61">
        <w:rPr>
          <w:rFonts w:hint="cs"/>
          <w:rtl/>
        </w:rPr>
        <w:t xml:space="preserve">ת.א. </w:t>
      </w:r>
      <w:r w:rsidRPr="00C07D61">
        <w:rPr>
          <w:rFonts w:hint="cs"/>
          <w:b/>
          <w:bCs/>
          <w:rtl/>
        </w:rPr>
        <w:t>שירותי אשראי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627 \h  \* MERGEFORMAT ">
        <w:r w:rsidR="00DE2615">
          <w:t>18</w:t>
        </w:r>
      </w:fldSimple>
      <w:r w:rsidRPr="00C07D61">
        <w:rPr>
          <w:rFonts w:hint="cs"/>
          <w:rtl/>
        </w:rPr>
        <w:t xml:space="preserve">; בר"ע </w:t>
      </w:r>
      <w:r w:rsidRPr="00C07D61">
        <w:rPr>
          <w:rFonts w:hint="cs"/>
          <w:b/>
          <w:bCs/>
          <w:rtl/>
        </w:rPr>
        <w:t>כפר ביאליק</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627 \h  \* MERGEFORMAT ">
        <w:r w:rsidR="00DE2615">
          <w:t>18</w:t>
        </w:r>
      </w:fldSimple>
      <w:r w:rsidRPr="00C07D61">
        <w:rPr>
          <w:rFonts w:hint="cs"/>
          <w:rtl/>
        </w:rPr>
        <w:t xml:space="preserve">; ת"פ </w:t>
      </w:r>
      <w:r w:rsidRPr="00C07D61">
        <w:rPr>
          <w:rtl/>
        </w:rPr>
        <w:t>(</w:t>
      </w:r>
      <w:r w:rsidRPr="00C07D61">
        <w:rPr>
          <w:rFonts w:hint="cs"/>
          <w:rtl/>
        </w:rPr>
        <w:t>שלום ת"א</w:t>
      </w:r>
      <w:r w:rsidRPr="00C07D61">
        <w:rPr>
          <w:rtl/>
        </w:rPr>
        <w:t xml:space="preserve">) 4696/01 </w:t>
      </w:r>
      <w:r w:rsidRPr="00C07D61">
        <w:rPr>
          <w:b/>
          <w:bCs/>
          <w:rtl/>
        </w:rPr>
        <w:t xml:space="preserve">מדינת ישראל נ' </w:t>
      </w:r>
      <w:proofErr w:type="spellStart"/>
      <w:r w:rsidRPr="00C07D61">
        <w:rPr>
          <w:b/>
          <w:bCs/>
          <w:rtl/>
        </w:rPr>
        <w:t>הנדלמן</w:t>
      </w:r>
      <w:proofErr w:type="spellEnd"/>
      <w:r w:rsidRPr="00C07D61">
        <w:rPr>
          <w:rFonts w:hint="cs"/>
          <w:rtl/>
        </w:rPr>
        <w:t xml:space="preserve"> (פורסם בנבו, 14.4.2003) (ס'</w:t>
      </w:r>
      <w:r w:rsidRPr="00C07D61">
        <w:rPr>
          <w:rFonts w:hint="cs"/>
          <w:sz w:val="24"/>
          <w:rtl/>
        </w:rPr>
        <w:t xml:space="preserve"> 236ב1(ב) לפקודת מס הכנסה</w:t>
      </w:r>
      <w:r w:rsidRPr="00C07D61">
        <w:rPr>
          <w:rFonts w:hint="cs"/>
          <w:rtl/>
        </w:rPr>
        <w:t xml:space="preserve"> [נוסח חדש]); </w:t>
      </w:r>
      <w:r w:rsidRPr="00C07D61">
        <w:rPr>
          <w:rtl/>
        </w:rPr>
        <w:t>ת</w:t>
      </w:r>
      <w:r w:rsidRPr="00C07D61">
        <w:rPr>
          <w:rFonts w:hint="cs"/>
          <w:rtl/>
        </w:rPr>
        <w:t>"</w:t>
      </w:r>
      <w:r w:rsidRPr="00C07D61">
        <w:rPr>
          <w:rtl/>
        </w:rPr>
        <w:t>ק</w:t>
      </w:r>
      <w:r w:rsidRPr="00C07D61">
        <w:rPr>
          <w:rFonts w:hint="cs"/>
          <w:rtl/>
        </w:rPr>
        <w:t xml:space="preserve"> </w:t>
      </w:r>
      <w:r w:rsidRPr="00C07D61">
        <w:rPr>
          <w:rtl/>
        </w:rPr>
        <w:t>(פ"ת) 940/07</w:t>
      </w:r>
      <w:r w:rsidRPr="00C07D61">
        <w:rPr>
          <w:rFonts w:hint="cs"/>
          <w:rtl/>
        </w:rPr>
        <w:t xml:space="preserve"> </w:t>
      </w:r>
      <w:proofErr w:type="spellStart"/>
      <w:r w:rsidRPr="00C07D61">
        <w:rPr>
          <w:b/>
          <w:bCs/>
          <w:rtl/>
        </w:rPr>
        <w:t>תרוף</w:t>
      </w:r>
      <w:proofErr w:type="spellEnd"/>
      <w:r w:rsidRPr="00C07D61">
        <w:rPr>
          <w:b/>
          <w:bCs/>
          <w:rtl/>
        </w:rPr>
        <w:t xml:space="preserve"> נ' איבריה</w:t>
      </w:r>
      <w:r w:rsidRPr="00C07D61">
        <w:rPr>
          <w:rFonts w:hint="cs"/>
          <w:rtl/>
        </w:rPr>
        <w:t xml:space="preserve">, פסקאות 32-27 (פורסם בנבו, </w:t>
      </w:r>
      <w:r w:rsidRPr="00C07D61">
        <w:rPr>
          <w:rtl/>
        </w:rPr>
        <w:t>8.7.2007</w:t>
      </w:r>
      <w:r w:rsidRPr="00C07D61">
        <w:rPr>
          <w:rFonts w:hint="cs"/>
          <w:rtl/>
        </w:rPr>
        <w:t xml:space="preserve">) (ס' </w:t>
      </w:r>
      <w:r w:rsidRPr="00C07D61">
        <w:rPr>
          <w:rtl/>
        </w:rPr>
        <w:t>10 לחוק התובלה האווירית</w:t>
      </w:r>
      <w:r w:rsidRPr="00C07D61">
        <w:rPr>
          <w:rFonts w:hint="cs"/>
          <w:rtl/>
        </w:rPr>
        <w:t xml:space="preserve">, תש"ם-1980); </w:t>
      </w:r>
      <w:r w:rsidRPr="00C07D61">
        <w:rPr>
          <w:rtl/>
        </w:rPr>
        <w:t>ת</w:t>
      </w:r>
      <w:r w:rsidRPr="00C07D61">
        <w:rPr>
          <w:rFonts w:hint="cs"/>
          <w:rtl/>
        </w:rPr>
        <w:t>"</w:t>
      </w:r>
      <w:r w:rsidRPr="00C07D61">
        <w:rPr>
          <w:rtl/>
        </w:rPr>
        <w:t xml:space="preserve">ק (עכו) 1457/07 </w:t>
      </w:r>
      <w:r w:rsidRPr="00C07D61">
        <w:rPr>
          <w:b/>
          <w:bCs/>
          <w:rtl/>
        </w:rPr>
        <w:t>ענבר נ' איבריה</w:t>
      </w:r>
      <w:r w:rsidRPr="00C07D61">
        <w:rPr>
          <w:rFonts w:hint="cs"/>
          <w:rtl/>
        </w:rPr>
        <w:t xml:space="preserve"> (פורסם בנבו, </w:t>
      </w:r>
      <w:r w:rsidRPr="00C07D61">
        <w:rPr>
          <w:rtl/>
        </w:rPr>
        <w:t>20.11.2007</w:t>
      </w:r>
      <w:r w:rsidRPr="00C07D61">
        <w:rPr>
          <w:rFonts w:hint="cs"/>
          <w:rtl/>
        </w:rPr>
        <w:t xml:space="preserve">) (ס' </w:t>
      </w:r>
      <w:r w:rsidRPr="00C07D61">
        <w:rPr>
          <w:rtl/>
        </w:rPr>
        <w:t>10 לחוק התובלה האווירית</w:t>
      </w:r>
      <w:r w:rsidRPr="00C07D61">
        <w:rPr>
          <w:rFonts w:hint="cs"/>
          <w:rtl/>
        </w:rPr>
        <w:t xml:space="preserve">, תש"ם-1980); </w:t>
      </w:r>
      <w:proofErr w:type="spellStart"/>
      <w:r w:rsidRPr="00C07D61">
        <w:rPr>
          <w:rtl/>
        </w:rPr>
        <w:t>ב"ל</w:t>
      </w:r>
      <w:proofErr w:type="spellEnd"/>
      <w:r w:rsidRPr="00C07D61">
        <w:rPr>
          <w:rtl/>
        </w:rPr>
        <w:t xml:space="preserve"> (נצרת) 1822/09 </w:t>
      </w:r>
      <w:proofErr w:type="spellStart"/>
      <w:r w:rsidRPr="00C07D61">
        <w:rPr>
          <w:b/>
          <w:bCs/>
          <w:rtl/>
        </w:rPr>
        <w:t>ידינק</w:t>
      </w:r>
      <w:proofErr w:type="spellEnd"/>
      <w:r w:rsidRPr="00C07D61">
        <w:rPr>
          <w:b/>
          <w:bCs/>
          <w:rtl/>
        </w:rPr>
        <w:t xml:space="preserve"> נ' המוסד לביטוח לאומי</w:t>
      </w:r>
      <w:r w:rsidRPr="00C07D61">
        <w:rPr>
          <w:rFonts w:hint="cs"/>
          <w:rtl/>
        </w:rPr>
        <w:t xml:space="preserve"> (פורסם בנבו, </w:t>
      </w:r>
      <w:r w:rsidRPr="00C07D61">
        <w:rPr>
          <w:rtl/>
        </w:rPr>
        <w:t>7.1.2010</w:t>
      </w:r>
      <w:r w:rsidRPr="00C07D61">
        <w:rPr>
          <w:rFonts w:hint="cs"/>
          <w:rtl/>
        </w:rPr>
        <w:t>) (ס'</w:t>
      </w:r>
      <w:r w:rsidRPr="00C07D61">
        <w:rPr>
          <w:rFonts w:hint="eastAsia"/>
          <w:rtl/>
        </w:rPr>
        <w:t xml:space="preserve"> 223</w:t>
      </w:r>
      <w:r w:rsidRPr="00C07D61">
        <w:rPr>
          <w:rFonts w:hint="cs"/>
          <w:rtl/>
        </w:rPr>
        <w:t>(4) סיפא לחוק הביטוח הלאומי [נוסח משולב], תשנ"ה-1995);</w:t>
      </w:r>
      <w:r w:rsidRPr="00C07D61">
        <w:rPr>
          <w:rStyle w:val="FootnoteReference"/>
          <w:rFonts w:hint="cs"/>
          <w:rtl/>
        </w:rPr>
        <w:t xml:space="preserve"> </w:t>
      </w:r>
      <w:r w:rsidRPr="00C07D61">
        <w:rPr>
          <w:rtl/>
        </w:rPr>
        <w:t>דר/150/07 (</w:t>
      </w:r>
      <w:proofErr w:type="spellStart"/>
      <w:r w:rsidRPr="00C07D61">
        <w:rPr>
          <w:rtl/>
        </w:rPr>
        <w:t>ביד"צ</w:t>
      </w:r>
      <w:proofErr w:type="spellEnd"/>
      <w:r w:rsidRPr="00C07D61">
        <w:rPr>
          <w:rtl/>
        </w:rPr>
        <w:t xml:space="preserve"> מח' דר')</w:t>
      </w:r>
      <w:r w:rsidRPr="00C07D61">
        <w:rPr>
          <w:rFonts w:hint="cs"/>
          <w:rtl/>
        </w:rPr>
        <w:t xml:space="preserve"> </w:t>
      </w:r>
      <w:r w:rsidRPr="00C07D61">
        <w:rPr>
          <w:b/>
          <w:bCs/>
          <w:rtl/>
        </w:rPr>
        <w:t>התובע הצבאי נ' אדרי</w:t>
      </w:r>
      <w:r w:rsidRPr="00C07D61">
        <w:rPr>
          <w:rFonts w:hint="cs"/>
          <w:rtl/>
        </w:rPr>
        <w:t xml:space="preserve"> (פורסם בנבו, </w:t>
      </w:r>
      <w:r w:rsidRPr="00C07D61">
        <w:rPr>
          <w:rtl/>
        </w:rPr>
        <w:t>27.1.2010</w:t>
      </w:r>
      <w:r w:rsidRPr="00C07D61">
        <w:rPr>
          <w:rFonts w:hint="cs"/>
          <w:rtl/>
        </w:rPr>
        <w:t xml:space="preserve">) (ס' </w:t>
      </w:r>
      <w:r w:rsidRPr="00C07D61">
        <w:rPr>
          <w:rtl/>
        </w:rPr>
        <w:t>33א, 541 לחוק השיפוט הצבאי</w:t>
      </w:r>
      <w:r w:rsidRPr="00C07D61">
        <w:rPr>
          <w:rFonts w:hint="cs"/>
          <w:rtl/>
        </w:rPr>
        <w:t>, תשט"ו-1955).</w:t>
      </w:r>
    </w:p>
  </w:footnote>
  <w:footnote w:id="3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עם זאת, הביקורת השיפוטית שביצע בית הדין האזורי לעבודה ב-</w:t>
      </w:r>
      <w:proofErr w:type="spellStart"/>
      <w:r w:rsidRPr="00C07D61">
        <w:rPr>
          <w:rFonts w:hint="cs"/>
          <w:rtl/>
        </w:rPr>
        <w:t>ב"ל</w:t>
      </w:r>
      <w:proofErr w:type="spellEnd"/>
      <w:r w:rsidRPr="00C07D61">
        <w:rPr>
          <w:rFonts w:hint="cs"/>
          <w:rtl/>
        </w:rPr>
        <w:t xml:space="preserve"> </w:t>
      </w:r>
      <w:proofErr w:type="spellStart"/>
      <w:r w:rsidRPr="00C07D61">
        <w:rPr>
          <w:rFonts w:hint="cs"/>
          <w:b/>
          <w:bCs/>
          <w:rtl/>
        </w:rPr>
        <w:t>ידינק</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83 \h  \* MERGEFORMAT ">
        <w:r w:rsidR="00DE2615">
          <w:t>31</w:t>
        </w:r>
      </w:fldSimple>
      <w:r w:rsidRPr="00C07D61">
        <w:rPr>
          <w:rFonts w:hint="cs"/>
          <w:rtl/>
        </w:rPr>
        <w:t xml:space="preserve">, נהפכה בהחלטת בית הדין הארצי לעבודה </w:t>
      </w:r>
      <w:r w:rsidRPr="00C07D61">
        <w:rPr>
          <w:rtl/>
        </w:rPr>
        <w:t>ב</w:t>
      </w:r>
      <w:r w:rsidRPr="00C07D61">
        <w:rPr>
          <w:rFonts w:hint="cs"/>
          <w:rtl/>
        </w:rPr>
        <w:t>-</w:t>
      </w:r>
      <w:r w:rsidRPr="00C07D61">
        <w:rPr>
          <w:rtl/>
        </w:rPr>
        <w:t xml:space="preserve">בר"ע (ארצי) 257/10 </w:t>
      </w:r>
      <w:r w:rsidRPr="00C07D61">
        <w:rPr>
          <w:b/>
          <w:bCs/>
          <w:rtl/>
        </w:rPr>
        <w:t xml:space="preserve">המוסד לביטוח לאומי נ' </w:t>
      </w:r>
      <w:proofErr w:type="spellStart"/>
      <w:r w:rsidRPr="00C07D61">
        <w:rPr>
          <w:b/>
          <w:bCs/>
          <w:rtl/>
        </w:rPr>
        <w:t>עזבון</w:t>
      </w:r>
      <w:proofErr w:type="spellEnd"/>
      <w:r w:rsidRPr="00C07D61">
        <w:rPr>
          <w:b/>
          <w:bCs/>
          <w:rtl/>
        </w:rPr>
        <w:t xml:space="preserve"> </w:t>
      </w:r>
      <w:proofErr w:type="spellStart"/>
      <w:r w:rsidRPr="00C07D61">
        <w:rPr>
          <w:b/>
          <w:bCs/>
          <w:rtl/>
        </w:rPr>
        <w:t>ידינק</w:t>
      </w:r>
      <w:proofErr w:type="spellEnd"/>
      <w:r w:rsidRPr="00C07D61">
        <w:rPr>
          <w:rFonts w:hint="cs"/>
          <w:rtl/>
        </w:rPr>
        <w:t xml:space="preserve"> (פורסם בנבו,</w:t>
      </w:r>
      <w:r w:rsidRPr="00C07D61">
        <w:rPr>
          <w:rtl/>
        </w:rPr>
        <w:t xml:space="preserve"> 23.1.2012</w:t>
      </w:r>
      <w:r w:rsidRPr="00C07D61">
        <w:rPr>
          <w:rFonts w:hint="cs"/>
          <w:rtl/>
        </w:rPr>
        <w:t xml:space="preserve">). </w:t>
      </w:r>
    </w:p>
  </w:footnote>
  <w:footnote w:id="3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tl/>
        </w:rPr>
        <w:t>בג</w:t>
      </w:r>
      <w:r w:rsidRPr="00C07D61">
        <w:rPr>
          <w:rFonts w:hint="cs"/>
          <w:rtl/>
        </w:rPr>
        <w:t>"</w:t>
      </w:r>
      <w:r w:rsidRPr="00C07D61">
        <w:rPr>
          <w:rtl/>
        </w:rPr>
        <w:t xml:space="preserve">ץ 3434/96  </w:t>
      </w:r>
      <w:proofErr w:type="spellStart"/>
      <w:r w:rsidRPr="00C07D61">
        <w:rPr>
          <w:b/>
          <w:bCs/>
          <w:rtl/>
        </w:rPr>
        <w:t>הופנונג</w:t>
      </w:r>
      <w:proofErr w:type="spellEnd"/>
      <w:r w:rsidRPr="00C07D61">
        <w:rPr>
          <w:b/>
          <w:bCs/>
          <w:rtl/>
        </w:rPr>
        <w:t xml:space="preserve"> נ' יושב-ראש הכנסת</w:t>
      </w:r>
      <w:r w:rsidRPr="00C07D61">
        <w:rPr>
          <w:rFonts w:hint="cs"/>
          <w:rtl/>
        </w:rPr>
        <w:t xml:space="preserve">, </w:t>
      </w:r>
      <w:proofErr w:type="spellStart"/>
      <w:r w:rsidRPr="00C07D61">
        <w:rPr>
          <w:rtl/>
        </w:rPr>
        <w:t>פ''ד</w:t>
      </w:r>
      <w:proofErr w:type="spellEnd"/>
      <w:r w:rsidRPr="00C07D61">
        <w:rPr>
          <w:rtl/>
        </w:rPr>
        <w:t xml:space="preserve"> נ(3) 57</w:t>
      </w:r>
      <w:r w:rsidRPr="00C07D61">
        <w:rPr>
          <w:rFonts w:hint="cs"/>
          <w:rtl/>
        </w:rPr>
        <w:t>, 66 (1996) ("</w:t>
      </w:r>
      <w:r w:rsidRPr="00C07D61">
        <w:rPr>
          <w:rtl/>
        </w:rPr>
        <w:t>עד שבית המשפט פוסל חוק, הוא חייב לשבת שבעה נקיים</w:t>
      </w:r>
      <w:r w:rsidRPr="00C07D61">
        <w:rPr>
          <w:rFonts w:hint="cs"/>
          <w:rtl/>
        </w:rPr>
        <w:t>").</w:t>
      </w:r>
    </w:p>
  </w:footnote>
  <w:footnote w:id="3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r w:rsidRPr="00C07D61">
        <w:rPr>
          <w:rtl/>
        </w:rPr>
        <w:t>ע</w:t>
      </w:r>
      <w:r w:rsidRPr="00C07D61">
        <w:rPr>
          <w:rFonts w:hint="cs"/>
          <w:rtl/>
        </w:rPr>
        <w:t>"</w:t>
      </w:r>
      <w:r w:rsidRPr="00C07D61">
        <w:rPr>
          <w:rtl/>
        </w:rPr>
        <w:t>א (</w:t>
      </w:r>
      <w:proofErr w:type="spellStart"/>
      <w:r w:rsidRPr="00C07D61">
        <w:rPr>
          <w:rtl/>
        </w:rPr>
        <w:t>רשל</w:t>
      </w:r>
      <w:r w:rsidRPr="00C07D61">
        <w:rPr>
          <w:rFonts w:hint="cs"/>
          <w:rtl/>
        </w:rPr>
        <w:t>"צ</w:t>
      </w:r>
      <w:proofErr w:type="spellEnd"/>
      <w:r w:rsidRPr="00C07D61">
        <w:rPr>
          <w:rtl/>
        </w:rPr>
        <w:t xml:space="preserve">) 16/09  </w:t>
      </w:r>
      <w:r w:rsidRPr="00C07D61">
        <w:rPr>
          <w:b/>
          <w:bCs/>
          <w:rtl/>
        </w:rPr>
        <w:t>כהן נ' מדינת ישראל –</w:t>
      </w:r>
      <w:r w:rsidRPr="00C07D61">
        <w:rPr>
          <w:rFonts w:hint="cs"/>
          <w:b/>
          <w:bCs/>
          <w:rtl/>
        </w:rPr>
        <w:t xml:space="preserve"> </w:t>
      </w:r>
      <w:r w:rsidRPr="00C07D61">
        <w:rPr>
          <w:b/>
          <w:bCs/>
          <w:rtl/>
        </w:rPr>
        <w:t>הועדה להטלת עיצום כספי</w:t>
      </w:r>
      <w:r w:rsidRPr="00C07D61">
        <w:rPr>
          <w:rFonts w:hint="cs"/>
          <w:b/>
          <w:bCs/>
          <w:rtl/>
        </w:rPr>
        <w:t xml:space="preserve">, </w:t>
      </w:r>
      <w:r w:rsidRPr="00C07D61">
        <w:rPr>
          <w:rFonts w:hint="cs"/>
          <w:rtl/>
        </w:rPr>
        <w:t>עמ' 4 לפסק הדין (פורסם בנבו, 14.10.2009).</w:t>
      </w:r>
    </w:p>
  </w:footnote>
  <w:footnote w:id="3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כיום מעוגן הסדר זהה במהותו בסעיף 9 ל</w:t>
      </w:r>
      <w:r w:rsidRPr="00C07D61">
        <w:rPr>
          <w:rtl/>
        </w:rPr>
        <w:t>חוק הסדרת העיסוק בייצוג על ידי יועצי מס, תשס"ה-2005</w:t>
      </w:r>
      <w:r w:rsidRPr="00C07D61">
        <w:rPr>
          <w:rFonts w:hint="cs"/>
          <w:rtl/>
        </w:rPr>
        <w:t xml:space="preserve">, </w:t>
      </w:r>
      <w:r w:rsidRPr="00C07D61">
        <w:rPr>
          <w:rFonts w:hint="cs"/>
          <w:b/>
          <w:bCs/>
          <w:rtl/>
        </w:rPr>
        <w:t>ס"ח</w:t>
      </w:r>
      <w:r w:rsidRPr="00C07D61">
        <w:rPr>
          <w:rFonts w:hint="cs"/>
          <w:rtl/>
        </w:rPr>
        <w:t xml:space="preserve"> 1978 עמ' 114.</w:t>
      </w:r>
    </w:p>
  </w:footnote>
  <w:footnote w:id="37">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בג"ץ </w:t>
      </w:r>
      <w:proofErr w:type="spellStart"/>
      <w:r w:rsidRPr="00C07D61">
        <w:rPr>
          <w:rFonts w:hint="cs"/>
          <w:b/>
          <w:bCs/>
          <w:rtl/>
        </w:rPr>
        <w:t>הנדלמן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86608 \h  \* MERGEFORMAT ">
        <w:r w:rsidR="00DE2615">
          <w:t>23</w:t>
        </w:r>
      </w:fldSimple>
      <w:r w:rsidRPr="00C07D61">
        <w:rPr>
          <w:rFonts w:hint="cs"/>
          <w:rtl/>
        </w:rPr>
        <w:t xml:space="preserve">. </w:t>
      </w:r>
    </w:p>
  </w:footnote>
  <w:footnote w:id="3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ת</w:t>
      </w:r>
      <w:r w:rsidRPr="00C07D61">
        <w:rPr>
          <w:rtl/>
        </w:rPr>
        <w:t xml:space="preserve">"פ </w:t>
      </w:r>
      <w:proofErr w:type="spellStart"/>
      <w:r w:rsidRPr="00C07D61">
        <w:rPr>
          <w:rFonts w:hint="cs"/>
          <w:b/>
          <w:bCs/>
          <w:rtl/>
        </w:rPr>
        <w:t>הנדלמן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83 \h  \* MERGEFORMAT ">
        <w:r w:rsidR="00DE2615">
          <w:t>31</w:t>
        </w:r>
      </w:fldSimple>
      <w:r w:rsidRPr="00C07D61">
        <w:rPr>
          <w:rFonts w:hint="cs"/>
          <w:rtl/>
        </w:rPr>
        <w:t xml:space="preserve">. </w:t>
      </w:r>
    </w:p>
  </w:footnote>
  <w:footnote w:id="39">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ת</w:t>
      </w:r>
      <w:r w:rsidRPr="00C07D61">
        <w:rPr>
          <w:rStyle w:val="h"/>
          <w:rFonts w:eastAsia="Times New Roman" w:hint="cs"/>
          <w:rtl/>
        </w:rPr>
        <w:t>"פ (</w:t>
      </w:r>
      <w:r w:rsidRPr="00C07D61">
        <w:rPr>
          <w:rFonts w:hint="cs"/>
          <w:rtl/>
        </w:rPr>
        <w:t>שלום ת"א</w:t>
      </w:r>
      <w:r w:rsidRPr="00C07D61">
        <w:rPr>
          <w:rStyle w:val="h"/>
          <w:rFonts w:eastAsia="Times New Roman" w:hint="cs"/>
          <w:rtl/>
        </w:rPr>
        <w:t xml:space="preserve">) 4696/01 </w:t>
      </w:r>
      <w:r w:rsidRPr="00C07D61">
        <w:rPr>
          <w:rStyle w:val="h"/>
          <w:rFonts w:eastAsia="Times New Roman" w:hint="cs"/>
          <w:b/>
          <w:bCs/>
          <w:rtl/>
        </w:rPr>
        <w:t xml:space="preserve">מדינת ישראל נ' </w:t>
      </w:r>
      <w:proofErr w:type="spellStart"/>
      <w:r w:rsidRPr="00C07D61">
        <w:rPr>
          <w:rStyle w:val="h"/>
          <w:rFonts w:eastAsia="Times New Roman" w:hint="cs"/>
          <w:b/>
          <w:bCs/>
          <w:rtl/>
        </w:rPr>
        <w:t>הנדלמן</w:t>
      </w:r>
      <w:proofErr w:type="spellEnd"/>
      <w:r w:rsidRPr="00C07D61">
        <w:rPr>
          <w:rStyle w:val="h"/>
          <w:rFonts w:eastAsia="Times New Roman" w:hint="cs"/>
          <w:rtl/>
        </w:rPr>
        <w:t xml:space="preserve"> (פורסם בנבו, הכרעת דין מיום 10.11.2003). ההרשעה בוטלה בהמשך והושתו תחתיה שעות שירות לתועלת הציבור (החלטה מיום 5.2.2004). </w:t>
      </w:r>
    </w:p>
  </w:footnote>
  <w:footnote w:id="4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ע"פ (ת"א) </w:t>
      </w:r>
      <w:r w:rsidRPr="00C07D61">
        <w:rPr>
          <w:rtl/>
        </w:rPr>
        <w:t xml:space="preserve">70597/04 </w:t>
      </w:r>
      <w:proofErr w:type="spellStart"/>
      <w:r w:rsidRPr="00C07D61">
        <w:rPr>
          <w:b/>
          <w:bCs/>
          <w:rtl/>
        </w:rPr>
        <w:t>הנדלמן</w:t>
      </w:r>
      <w:proofErr w:type="spellEnd"/>
      <w:r w:rsidRPr="00C07D61">
        <w:rPr>
          <w:b/>
          <w:bCs/>
          <w:rtl/>
        </w:rPr>
        <w:t xml:space="preserve"> נ' מדינת ישראל</w:t>
      </w:r>
      <w:r w:rsidRPr="00C07D61">
        <w:rPr>
          <w:rFonts w:hint="cs"/>
          <w:rtl/>
        </w:rPr>
        <w:t xml:space="preserve"> (פורסם בנבו, 1.12.2005), פסקה 20 לפסק הדין. </w:t>
      </w:r>
    </w:p>
  </w:footnote>
  <w:footnote w:id="4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הדס מגן ואיתמר לוין "ריבלין: 'המהפכה החוקתית' של אהרון ברק </w:t>
      </w:r>
      <w:proofErr w:type="spellStart"/>
      <w:r w:rsidRPr="00C07D61">
        <w:rPr>
          <w:rFonts w:hint="cs"/>
          <w:rtl/>
        </w:rPr>
        <w:t>היתה</w:t>
      </w:r>
      <w:proofErr w:type="spellEnd"/>
      <w:r w:rsidRPr="00C07D61">
        <w:rPr>
          <w:rFonts w:hint="cs"/>
          <w:rtl/>
        </w:rPr>
        <w:t xml:space="preserve"> להפיכה שלטונית" </w:t>
      </w:r>
      <w:r w:rsidRPr="00C07D61">
        <w:rPr>
          <w:rFonts w:hint="cs"/>
          <w:b/>
          <w:bCs/>
          <w:rtl/>
        </w:rPr>
        <w:t>גלובס</w:t>
      </w:r>
      <w:r w:rsidRPr="00C07D61">
        <w:rPr>
          <w:rFonts w:hint="cs"/>
          <w:rtl/>
        </w:rPr>
        <w:t xml:space="preserve"> 22.5.2003 (</w:t>
      </w:r>
      <w:hyperlink r:id="rId3" w:history="1">
        <w:r w:rsidRPr="00C07D61">
          <w:rPr>
            <w:rStyle w:val="Hyperlink"/>
          </w:rPr>
          <w:t>http://tinyurl.com/24v642q</w:t>
        </w:r>
      </w:hyperlink>
      <w:r w:rsidRPr="00C07D61">
        <w:rPr>
          <w:rFonts w:hint="cs"/>
          <w:rtl/>
        </w:rPr>
        <w:t xml:space="preserve">). </w:t>
      </w:r>
    </w:p>
  </w:footnote>
  <w:footnote w:id="4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צבי לביא "'יש אולי דיין אבל אין דין לאזרחי ישראל'" </w:t>
      </w:r>
      <w:r w:rsidRPr="00C07D61">
        <w:rPr>
          <w:rFonts w:hint="cs"/>
          <w:b/>
          <w:bCs/>
          <w:rtl/>
        </w:rPr>
        <w:t>גלובס</w:t>
      </w:r>
      <w:r w:rsidRPr="00C07D61">
        <w:rPr>
          <w:rFonts w:hint="cs"/>
          <w:rtl/>
        </w:rPr>
        <w:t xml:space="preserve"> 24.4.2003 (</w:t>
      </w:r>
      <w:hyperlink r:id="rId4" w:history="1">
        <w:r w:rsidRPr="00C07D61">
          <w:rPr>
            <w:rStyle w:val="Hyperlink"/>
          </w:rPr>
          <w:t>http://tinyurl.com/29ksfs5</w:t>
        </w:r>
      </w:hyperlink>
      <w:r w:rsidRPr="00C07D61">
        <w:rPr>
          <w:rFonts w:hint="cs"/>
          <w:rtl/>
        </w:rPr>
        <w:t>) (דברי ח"כ מיכאל איתן כי "ז</w:t>
      </w:r>
      <w:r w:rsidRPr="00C07D61">
        <w:rPr>
          <w:rtl/>
        </w:rPr>
        <w:t>ו הפקרות מוחלטת אם הגענו למצב שבו כל שופט יכול בכל עניין לפסול את חוקי הכנסת. ככה יש אולי דיין אבל אין דין לאזרחי ישראל, והכנסת שנבחרה כדי לחוקק מאבדת את כוחה</w:t>
      </w:r>
      <w:r w:rsidRPr="00C07D61">
        <w:rPr>
          <w:rFonts w:hint="cs"/>
          <w:rtl/>
        </w:rPr>
        <w:t xml:space="preserve">"); דניאל פרידמן </w:t>
      </w:r>
      <w:r w:rsidRPr="00C07D61">
        <w:rPr>
          <w:rFonts w:hint="cs"/>
          <w:b/>
          <w:bCs/>
          <w:rtl/>
        </w:rPr>
        <w:t>הארנק והחרב: המהפכה המשפטית ושברה</w:t>
      </w:r>
      <w:r w:rsidRPr="00C07D61">
        <w:rPr>
          <w:rFonts w:hint="cs"/>
          <w:rtl/>
        </w:rPr>
        <w:t xml:space="preserve"> 228-227 (2013) (תיאור הופעתה של הביקורת השיפוטית </w:t>
      </w:r>
      <w:proofErr w:type="spellStart"/>
      <w:r w:rsidRPr="00C07D61">
        <w:rPr>
          <w:rFonts w:hint="cs"/>
          <w:rtl/>
        </w:rPr>
        <w:t>הביזורית</w:t>
      </w:r>
      <w:proofErr w:type="spellEnd"/>
      <w:r w:rsidRPr="00C07D61">
        <w:rPr>
          <w:rFonts w:hint="cs"/>
          <w:rtl/>
        </w:rPr>
        <w:t xml:space="preserve"> בפרשת </w:t>
      </w:r>
      <w:proofErr w:type="spellStart"/>
      <w:r w:rsidRPr="00C07D61">
        <w:rPr>
          <w:rFonts w:hint="cs"/>
          <w:rtl/>
        </w:rPr>
        <w:t>הנדלמן</w:t>
      </w:r>
      <w:proofErr w:type="spellEnd"/>
      <w:r w:rsidRPr="00C07D61">
        <w:rPr>
          <w:rFonts w:hint="cs"/>
          <w:rtl/>
        </w:rPr>
        <w:t xml:space="preserve"> כ"אפילוג מעולם האבסורד" לפסק דין בנק המזרחי).</w:t>
      </w:r>
    </w:p>
  </w:footnote>
  <w:footnote w:id="4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בעיקר ס' 15(ג) ו-15(ד)(2) לחוק-יסוד: השפיטה. </w:t>
      </w:r>
    </w:p>
  </w:footnote>
  <w:footnote w:id="4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כוונתי לפסקי הדין בהם אכף בית המשפט העליון בשבתו כבג"ץ, מאז סוף שנות ה-60, את השריון הפורמאלי של סעיף 4 לחוק-יסוד: הכנסת. </w:t>
      </w:r>
      <w:r w:rsidRPr="00C07D61">
        <w:rPr>
          <w:rtl/>
        </w:rPr>
        <w:t>ראו בג</w:t>
      </w:r>
      <w:r w:rsidRPr="00C07D61">
        <w:rPr>
          <w:rFonts w:hint="cs"/>
          <w:rtl/>
        </w:rPr>
        <w:t>"ץ</w:t>
      </w:r>
      <w:r w:rsidRPr="00C07D61">
        <w:rPr>
          <w:rtl/>
        </w:rPr>
        <w:t xml:space="preserve"> 98/69 </w:t>
      </w:r>
      <w:r w:rsidRPr="00C07D61">
        <w:rPr>
          <w:b/>
          <w:bCs/>
          <w:rtl/>
        </w:rPr>
        <w:t>ברגמן נ' שר האוצר</w:t>
      </w:r>
      <w:r w:rsidRPr="00C07D61">
        <w:rPr>
          <w:rtl/>
        </w:rPr>
        <w:t xml:space="preserve">, פ"ד </w:t>
      </w:r>
      <w:proofErr w:type="spellStart"/>
      <w:r w:rsidRPr="00C07D61">
        <w:rPr>
          <w:rtl/>
        </w:rPr>
        <w:t>כג</w:t>
      </w:r>
      <w:proofErr w:type="spellEnd"/>
      <w:r w:rsidRPr="00C07D61">
        <w:rPr>
          <w:rtl/>
        </w:rPr>
        <w:t xml:space="preserve">(1) 693 </w:t>
      </w:r>
      <w:r w:rsidRPr="00C07D61">
        <w:rPr>
          <w:rFonts w:hint="cs"/>
          <w:rtl/>
        </w:rPr>
        <w:t>(1969)</w:t>
      </w:r>
      <w:r w:rsidRPr="00C07D61">
        <w:rPr>
          <w:rtl/>
        </w:rPr>
        <w:t>; בג"</w:t>
      </w:r>
      <w:r w:rsidRPr="00C07D61">
        <w:rPr>
          <w:rFonts w:hint="cs"/>
          <w:rtl/>
        </w:rPr>
        <w:t>ץ</w:t>
      </w:r>
      <w:r w:rsidRPr="00C07D61">
        <w:rPr>
          <w:rtl/>
        </w:rPr>
        <w:t xml:space="preserve"> 246/81 </w:t>
      </w:r>
      <w:r w:rsidRPr="00C07D61">
        <w:rPr>
          <w:b/>
          <w:bCs/>
          <w:rtl/>
        </w:rPr>
        <w:t>אגודת דרך ארץ נ' רשות השידור</w:t>
      </w:r>
      <w:r w:rsidRPr="00C07D61">
        <w:rPr>
          <w:rtl/>
        </w:rPr>
        <w:t xml:space="preserve">, </w:t>
      </w:r>
      <w:r w:rsidRPr="00C07D61">
        <w:rPr>
          <w:rFonts w:hint="cs"/>
          <w:rtl/>
        </w:rPr>
        <w:t xml:space="preserve">פ"ד </w:t>
      </w:r>
      <w:r w:rsidRPr="00C07D61">
        <w:rPr>
          <w:rtl/>
        </w:rPr>
        <w:t xml:space="preserve">לה(4) </w:t>
      </w:r>
      <w:r w:rsidRPr="00C07D61">
        <w:rPr>
          <w:rFonts w:hint="cs"/>
          <w:rtl/>
        </w:rPr>
        <w:t>1 (1981)</w:t>
      </w:r>
      <w:r w:rsidRPr="00C07D61">
        <w:rPr>
          <w:rtl/>
        </w:rPr>
        <w:t xml:space="preserve">; בגץ 141/82 </w:t>
      </w:r>
      <w:r w:rsidRPr="00C07D61">
        <w:rPr>
          <w:b/>
          <w:bCs/>
          <w:rtl/>
        </w:rPr>
        <w:t>רובינשטיין נ' יושב-ראש הכנסת</w:t>
      </w:r>
      <w:r w:rsidRPr="00C07D61">
        <w:rPr>
          <w:rtl/>
        </w:rPr>
        <w:t xml:space="preserve">, </w:t>
      </w:r>
      <w:r w:rsidRPr="00C07D61">
        <w:rPr>
          <w:rFonts w:hint="cs"/>
          <w:rtl/>
        </w:rPr>
        <w:t xml:space="preserve">פ"ד </w:t>
      </w:r>
      <w:proofErr w:type="spellStart"/>
      <w:r w:rsidRPr="00C07D61">
        <w:rPr>
          <w:rtl/>
        </w:rPr>
        <w:t>לז</w:t>
      </w:r>
      <w:proofErr w:type="spellEnd"/>
      <w:r w:rsidRPr="00C07D61">
        <w:rPr>
          <w:rFonts w:hint="cs"/>
          <w:rtl/>
        </w:rPr>
        <w:t>(</w:t>
      </w:r>
      <w:r w:rsidRPr="00C07D61">
        <w:rPr>
          <w:rtl/>
        </w:rPr>
        <w:t>3) 141</w:t>
      </w:r>
      <w:r w:rsidRPr="00C07D61">
        <w:rPr>
          <w:rFonts w:hint="cs"/>
          <w:rtl/>
        </w:rPr>
        <w:t xml:space="preserve"> (1983)</w:t>
      </w:r>
      <w:r w:rsidRPr="00C07D61">
        <w:rPr>
          <w:rtl/>
        </w:rPr>
        <w:t>; בג</w:t>
      </w:r>
      <w:r w:rsidRPr="00C07D61">
        <w:rPr>
          <w:rFonts w:hint="cs"/>
          <w:rtl/>
        </w:rPr>
        <w:t xml:space="preserve">"ץ </w:t>
      </w:r>
      <w:r w:rsidRPr="00C07D61">
        <w:rPr>
          <w:rtl/>
        </w:rPr>
        <w:t xml:space="preserve">142/89 </w:t>
      </w:r>
      <w:r w:rsidRPr="00C07D61">
        <w:rPr>
          <w:b/>
          <w:bCs/>
          <w:rtl/>
        </w:rPr>
        <w:t xml:space="preserve">תנועת </w:t>
      </w:r>
      <w:proofErr w:type="spellStart"/>
      <w:r w:rsidRPr="00C07D61">
        <w:rPr>
          <w:b/>
          <w:bCs/>
          <w:rtl/>
        </w:rPr>
        <w:t>לאו"ר</w:t>
      </w:r>
      <w:proofErr w:type="spellEnd"/>
      <w:r w:rsidRPr="00C07D61">
        <w:rPr>
          <w:b/>
          <w:bCs/>
          <w:rtl/>
        </w:rPr>
        <w:t xml:space="preserve"> נ' יו</w:t>
      </w:r>
      <w:r w:rsidRPr="00C07D61">
        <w:rPr>
          <w:rFonts w:hint="cs"/>
          <w:b/>
          <w:bCs/>
          <w:rtl/>
        </w:rPr>
        <w:t xml:space="preserve">שב-ראש </w:t>
      </w:r>
      <w:r w:rsidRPr="00C07D61">
        <w:rPr>
          <w:b/>
          <w:bCs/>
          <w:rtl/>
        </w:rPr>
        <w:t>הכנסת</w:t>
      </w:r>
      <w:r w:rsidRPr="00C07D61">
        <w:rPr>
          <w:rtl/>
        </w:rPr>
        <w:t>, פ"ד מד(3) 529</w:t>
      </w:r>
      <w:r w:rsidRPr="00C07D61">
        <w:rPr>
          <w:rFonts w:hint="cs"/>
          <w:rtl/>
        </w:rPr>
        <w:t xml:space="preserve"> (1990). </w:t>
      </w:r>
    </w:p>
  </w:footnote>
  <w:footnote w:id="4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המקרה האחד הוא בש"פ </w:t>
      </w:r>
      <w:r w:rsidRPr="00C07D61">
        <w:rPr>
          <w:rFonts w:hint="cs"/>
          <w:b/>
          <w:bCs/>
          <w:rtl/>
        </w:rPr>
        <w:t>פלוני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855 \h  \* MERGEFORMAT ">
        <w:r w:rsidR="00DE2615">
          <w:t>22</w:t>
        </w:r>
      </w:fldSimple>
      <w:r w:rsidRPr="00C07D61">
        <w:rPr>
          <w:rFonts w:hint="cs"/>
          <w:rtl/>
        </w:rPr>
        <w:t xml:space="preserve">. באותו מקרה בוטלה הוראת חוק שאפשרה הארכת מעצר של חשוד בעבירת בטחון בהעדרו. בינתיים פקע הטעם למניעת נוכחותו של העותר. ראו פסקאות 5, 11-8 לפסק הדין של המשנה לנשיאה ריבלין. העתירה הציבורית שהוגשה במקביל </w:t>
      </w:r>
      <w:r w:rsidRPr="00C07D61">
        <w:rPr>
          <w:rtl/>
        </w:rPr>
        <w:t>–</w:t>
      </w:r>
      <w:r w:rsidRPr="00C07D61">
        <w:rPr>
          <w:rFonts w:hint="cs"/>
          <w:rtl/>
        </w:rPr>
        <w:t xml:space="preserve"> בג"ץ </w:t>
      </w:r>
      <w:r w:rsidRPr="00C07D61">
        <w:rPr>
          <w:rtl/>
        </w:rPr>
        <w:t xml:space="preserve">2028/08 </w:t>
      </w:r>
      <w:r w:rsidRPr="00C07D61">
        <w:rPr>
          <w:b/>
          <w:bCs/>
          <w:rtl/>
        </w:rPr>
        <w:t>הוועד הציבורי עינויים בישראל נ' שר המשפטים</w:t>
      </w:r>
      <w:r w:rsidRPr="00C07D61">
        <w:rPr>
          <w:rFonts w:hint="cs"/>
          <w:rtl/>
        </w:rPr>
        <w:t xml:space="preserve"> </w:t>
      </w:r>
      <w:r w:rsidRPr="00C07D61">
        <w:rPr>
          <w:rtl/>
        </w:rPr>
        <w:t>–</w:t>
      </w:r>
      <w:r w:rsidRPr="00C07D61">
        <w:rPr>
          <w:rFonts w:hint="cs"/>
          <w:rtl/>
        </w:rPr>
        <w:t xml:space="preserve"> נמחקה בהמשך לבקשת העותרים בעקבות החלטת בית המשפט לעיין בחומר חסוי במעמד צד אחד. ראו בש"פ </w:t>
      </w:r>
      <w:r w:rsidRPr="00C07D61">
        <w:rPr>
          <w:rFonts w:hint="cs"/>
          <w:b/>
          <w:bCs/>
          <w:rtl/>
        </w:rPr>
        <w:t>פלוני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855 \h  \* MERGEFORMAT ">
        <w:r w:rsidR="00DE2615">
          <w:t>22</w:t>
        </w:r>
      </w:fldSimple>
      <w:r w:rsidRPr="00C07D61">
        <w:rPr>
          <w:rFonts w:hint="cs"/>
          <w:rtl/>
        </w:rPr>
        <w:t xml:space="preserve">, פסקה 7 לפסק הדין של המשנה לנשיאה ריבלין. המקרה השני הוא בג"ץ </w:t>
      </w:r>
      <w:r w:rsidRPr="00C07D61">
        <w:rPr>
          <w:rFonts w:hint="cs"/>
          <w:b/>
          <w:bCs/>
          <w:rtl/>
        </w:rPr>
        <w:t>אדם</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855 \h  \* MERGEFORMAT ">
        <w:r w:rsidR="00DE2615">
          <w:t>22</w:t>
        </w:r>
      </w:fldSimple>
      <w:r w:rsidRPr="00C07D61">
        <w:rPr>
          <w:rFonts w:hint="cs"/>
          <w:rtl/>
        </w:rPr>
        <w:t xml:space="preserve">, שנדון במקביל לשני ערעורים שהוגשו מבית המשפט לעניינים מנהליים. </w:t>
      </w:r>
    </w:p>
  </w:footnote>
  <w:footnote w:id="4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לעיל </w:t>
      </w:r>
      <w:proofErr w:type="spellStart"/>
      <w:r w:rsidRPr="00C07D61">
        <w:rPr>
          <w:rFonts w:hint="cs"/>
          <w:rtl/>
        </w:rPr>
        <w:t>ה"ש</w:t>
      </w:r>
      <w:proofErr w:type="spellEnd"/>
      <w:r w:rsidRPr="00C07D61">
        <w:rPr>
          <w:rFonts w:hint="cs"/>
          <w:rtl/>
        </w:rPr>
        <w:t xml:space="preserve"> </w:t>
      </w:r>
      <w:fldSimple w:instr=" NOTEREF _Ref365886608 \h  \* MERGEFORMAT ">
        <w:r w:rsidR="00DE2615">
          <w:t>23</w:t>
        </w:r>
      </w:fldSimple>
      <w:r w:rsidRPr="00C07D61">
        <w:rPr>
          <w:rFonts w:hint="cs"/>
          <w:rtl/>
        </w:rPr>
        <w:t>.</w:t>
      </w:r>
    </w:p>
  </w:footnote>
  <w:footnote w:id="4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ההבדל היחיד הוא הרוב הנדרש בוועדה לבחירת שופטים: מינוי שופט עליון מחייב הסכמת שבעה מתוך תשעת חברי הוועדה, בניגוד לרוב הרגיל הנדרש ביחס ליתר הערכאות. ראו ס' 7(ג)(2) לחוק בתי המשפט [נוסח משולב], תשמ"ד-1984. </w:t>
      </w:r>
    </w:p>
  </w:footnote>
  <w:footnote w:id="4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ראו יגאל מרזל "</w:t>
      </w:r>
      <w:r w:rsidRPr="00C07D61">
        <w:rPr>
          <w:rtl/>
        </w:rPr>
        <w:t>מעמד הכנסת בעתירות בעניי</w:t>
      </w:r>
      <w:r w:rsidRPr="00C07D61">
        <w:rPr>
          <w:rFonts w:hint="cs"/>
          <w:rtl/>
        </w:rPr>
        <w:t xml:space="preserve">ן </w:t>
      </w:r>
      <w:r w:rsidRPr="00C07D61">
        <w:rPr>
          <w:rtl/>
        </w:rPr>
        <w:t>חוקתיות החוק</w:t>
      </w:r>
      <w:r w:rsidRPr="00C07D61">
        <w:rPr>
          <w:rFonts w:hint="cs"/>
          <w:rtl/>
        </w:rPr>
        <w:t xml:space="preserve">" </w:t>
      </w:r>
      <w:r w:rsidRPr="00C07D61">
        <w:rPr>
          <w:rFonts w:hint="cs"/>
          <w:b/>
          <w:bCs/>
          <w:rtl/>
        </w:rPr>
        <w:t>משפטים</w:t>
      </w:r>
      <w:r w:rsidRPr="00C07D61">
        <w:rPr>
          <w:rFonts w:hint="cs"/>
          <w:rtl/>
        </w:rPr>
        <w:t xml:space="preserve"> לט 347, 386 (תש"ע) ("</w:t>
      </w:r>
      <w:r w:rsidRPr="00C07D61">
        <w:rPr>
          <w:rtl/>
        </w:rPr>
        <w:t xml:space="preserve">אל </w:t>
      </w:r>
      <w:r w:rsidRPr="00C07D61">
        <w:rPr>
          <w:rFonts w:hint="cs"/>
          <w:rtl/>
        </w:rPr>
        <w:t>נוכח הפנ</w:t>
      </w:r>
      <w:r w:rsidRPr="00C07D61">
        <w:rPr>
          <w:rtl/>
        </w:rPr>
        <w:t>ייה הישירה והשכיחה לבית המשפט הגבוה לצדק בנדו</w:t>
      </w:r>
      <w:r w:rsidRPr="00C07D61">
        <w:rPr>
          <w:rFonts w:hint="cs"/>
          <w:rtl/>
        </w:rPr>
        <w:t>ן</w:t>
      </w:r>
      <w:r w:rsidRPr="00C07D61">
        <w:rPr>
          <w:rtl/>
        </w:rPr>
        <w:t>, ואל נוכח מיעוט ההליכי</w:t>
      </w:r>
      <w:r w:rsidRPr="00C07D61">
        <w:rPr>
          <w:rFonts w:hint="cs"/>
          <w:rtl/>
        </w:rPr>
        <w:t xml:space="preserve">ם </w:t>
      </w:r>
      <w:r w:rsidRPr="00C07D61">
        <w:rPr>
          <w:rtl/>
        </w:rPr>
        <w:t>שבה</w:t>
      </w:r>
      <w:r w:rsidRPr="00C07D61">
        <w:rPr>
          <w:rFonts w:hint="cs"/>
          <w:rtl/>
        </w:rPr>
        <w:t xml:space="preserve">ם </w:t>
      </w:r>
      <w:r w:rsidRPr="00C07D61">
        <w:rPr>
          <w:rtl/>
        </w:rPr>
        <w:t>מוכרע תוק</w:t>
      </w:r>
      <w:r w:rsidRPr="00C07D61">
        <w:rPr>
          <w:rFonts w:hint="cs"/>
          <w:rtl/>
        </w:rPr>
        <w:t>ף</w:t>
      </w:r>
      <w:r w:rsidRPr="00C07D61">
        <w:rPr>
          <w:rtl/>
        </w:rPr>
        <w:t xml:space="preserve"> החוק בתקיפה עקיפה בבתי משפט בדרגות אחרות, הולכת ומתאפיינת ההתדיינות בהקשר זה כתקיפה ישירה של חוקתיות החוק.</w:t>
      </w:r>
      <w:r w:rsidRPr="00C07D61">
        <w:rPr>
          <w:rFonts w:hint="cs"/>
          <w:rtl/>
        </w:rPr>
        <w:t xml:space="preserve"> </w:t>
      </w:r>
      <w:r w:rsidRPr="00C07D61">
        <w:rPr>
          <w:rtl/>
        </w:rPr>
        <w:t>הטיעו</w:t>
      </w:r>
      <w:r w:rsidRPr="00C07D61">
        <w:rPr>
          <w:rFonts w:hint="cs"/>
          <w:rtl/>
        </w:rPr>
        <w:t>ן</w:t>
      </w:r>
      <w:r w:rsidRPr="00C07D61">
        <w:rPr>
          <w:rtl/>
        </w:rPr>
        <w:t xml:space="preserve"> בבית המשפט העליו</w:t>
      </w:r>
      <w:r w:rsidRPr="00C07D61">
        <w:rPr>
          <w:rFonts w:hint="cs"/>
          <w:rtl/>
        </w:rPr>
        <w:t>ן</w:t>
      </w:r>
      <w:r w:rsidRPr="00C07D61">
        <w:rPr>
          <w:rtl/>
        </w:rPr>
        <w:t xml:space="preserve"> מתמקד לכאורה בטענות כנגד ביצוע החוק, אול</w:t>
      </w:r>
      <w:r w:rsidRPr="00C07D61">
        <w:rPr>
          <w:rFonts w:hint="cs"/>
          <w:rtl/>
        </w:rPr>
        <w:t>ם</w:t>
      </w:r>
      <w:r w:rsidRPr="00C07D61">
        <w:rPr>
          <w:rtl/>
        </w:rPr>
        <w:t xml:space="preserve"> באופ</w:t>
      </w:r>
      <w:r w:rsidRPr="00C07D61">
        <w:rPr>
          <w:rFonts w:hint="cs"/>
          <w:rtl/>
        </w:rPr>
        <w:t>ן</w:t>
      </w:r>
      <w:r w:rsidRPr="00C07D61">
        <w:rPr>
          <w:rtl/>
        </w:rPr>
        <w:t xml:space="preserve"> מעשי נראה כי לא פע</w:t>
      </w:r>
      <w:r w:rsidRPr="00C07D61">
        <w:rPr>
          <w:rFonts w:hint="cs"/>
          <w:rtl/>
        </w:rPr>
        <w:t xml:space="preserve">ם </w:t>
      </w:r>
      <w:r w:rsidRPr="00C07D61">
        <w:rPr>
          <w:rtl/>
        </w:rPr>
        <w:t>התקיפה כוללת מרכיב אבסטרקטי מובהק כטענת חרב ולא כטענת מג</w:t>
      </w:r>
      <w:r w:rsidRPr="00C07D61">
        <w:rPr>
          <w:rFonts w:hint="cs"/>
          <w:rtl/>
        </w:rPr>
        <w:t>ן</w:t>
      </w:r>
      <w:r w:rsidRPr="00C07D61">
        <w:rPr>
          <w:rtl/>
        </w:rPr>
        <w:t>, באופ</w:t>
      </w:r>
      <w:r w:rsidRPr="00C07D61">
        <w:rPr>
          <w:rFonts w:hint="cs"/>
          <w:rtl/>
        </w:rPr>
        <w:t>ן</w:t>
      </w:r>
      <w:r w:rsidRPr="00C07D61">
        <w:rPr>
          <w:rtl/>
        </w:rPr>
        <w:t xml:space="preserve"> המקרב את הלי</w:t>
      </w:r>
      <w:r w:rsidRPr="00C07D61">
        <w:rPr>
          <w:rFonts w:hint="cs"/>
          <w:rtl/>
        </w:rPr>
        <w:t>ך</w:t>
      </w:r>
      <w:r w:rsidRPr="00C07D61">
        <w:rPr>
          <w:rtl/>
        </w:rPr>
        <w:t xml:space="preserve"> הביקורת השיפוטית על חוקתיות החוק לביקורת האבסטרקטית הנוהגת בבתי די</w:t>
      </w:r>
      <w:r w:rsidRPr="00C07D61">
        <w:rPr>
          <w:rFonts w:hint="cs"/>
          <w:rtl/>
        </w:rPr>
        <w:t>ן</w:t>
      </w:r>
      <w:r w:rsidRPr="00C07D61">
        <w:rPr>
          <w:rtl/>
        </w:rPr>
        <w:t xml:space="preserve"> לחוקה במדינות קונטיננטליות</w:t>
      </w:r>
      <w:r w:rsidRPr="00C07D61">
        <w:rPr>
          <w:rFonts w:hint="cs"/>
          <w:rtl/>
        </w:rPr>
        <w:t xml:space="preserve">"). </w:t>
      </w:r>
    </w:p>
  </w:footnote>
  <w:footnote w:id="49">
    <w:p w:rsidR="009F0DE7" w:rsidRPr="00C07D61" w:rsidRDefault="009F0DE7" w:rsidP="00511BD0">
      <w:pPr>
        <w:pStyle w:val="FootnoteText"/>
        <w:spacing w:afterLines="40"/>
        <w:jc w:val="both"/>
        <w:rPr>
          <w:rtl/>
        </w:rPr>
      </w:pPr>
      <w:r w:rsidRPr="00C07D61">
        <w:rPr>
          <w:rStyle w:val="FootnoteReference"/>
        </w:rPr>
        <w:footnoteRef/>
      </w:r>
      <w:r w:rsidRPr="00C07D61">
        <w:rPr>
          <w:rFonts w:hint="cs"/>
          <w:rtl/>
        </w:rPr>
        <w:t xml:space="preserve"> המשפט הישראלי ידע גם חריגים לכלל זה, במצבים בהם בג"ץ היה נכון לדון מחדש בחוקתיותו של חוק שאושר בסיבוב קודם. ראו </w:t>
      </w:r>
      <w:r w:rsidRPr="00C07D61">
        <w:rPr>
          <w:rtl/>
        </w:rPr>
        <w:t>בג"ץ 6427/02</w:t>
      </w:r>
      <w:r w:rsidRPr="00C07D61">
        <w:rPr>
          <w:rFonts w:hint="cs"/>
          <w:rtl/>
        </w:rPr>
        <w:t xml:space="preserve"> </w:t>
      </w:r>
      <w:r w:rsidRPr="00C07D61">
        <w:rPr>
          <w:b/>
          <w:bCs/>
          <w:rtl/>
        </w:rPr>
        <w:t>התנועה למען איכות השלטון בישראל נ' כנסת ישראל</w:t>
      </w:r>
      <w:r w:rsidRPr="00C07D61">
        <w:rPr>
          <w:rFonts w:hint="cs"/>
          <w:rtl/>
        </w:rPr>
        <w:t xml:space="preserve">, </w:t>
      </w:r>
      <w:r w:rsidRPr="00C07D61">
        <w:rPr>
          <w:rtl/>
        </w:rPr>
        <w:t xml:space="preserve">פ"ד </w:t>
      </w:r>
      <w:proofErr w:type="spellStart"/>
      <w:r w:rsidRPr="00C07D61">
        <w:rPr>
          <w:rtl/>
        </w:rPr>
        <w:t>סא</w:t>
      </w:r>
      <w:proofErr w:type="spellEnd"/>
      <w:r w:rsidRPr="00C07D61">
        <w:rPr>
          <w:rtl/>
        </w:rPr>
        <w:t>(1) 619</w:t>
      </w:r>
      <w:r w:rsidRPr="00C07D61">
        <w:rPr>
          <w:rFonts w:hint="cs"/>
          <w:rtl/>
        </w:rPr>
        <w:t xml:space="preserve"> (2006) ובג"ץ 6298/07 </w:t>
      </w:r>
      <w:proofErr w:type="spellStart"/>
      <w:r w:rsidRPr="00C07D61">
        <w:rPr>
          <w:rFonts w:hint="cs"/>
          <w:b/>
          <w:bCs/>
          <w:rtl/>
        </w:rPr>
        <w:t>רסלר</w:t>
      </w:r>
      <w:proofErr w:type="spellEnd"/>
      <w:r w:rsidRPr="00C07D61">
        <w:rPr>
          <w:rFonts w:hint="cs"/>
          <w:b/>
          <w:bCs/>
          <w:rtl/>
        </w:rPr>
        <w:t xml:space="preserve"> נ' כנסת ישראל </w:t>
      </w:r>
      <w:r w:rsidRPr="00C07D61">
        <w:rPr>
          <w:rFonts w:hint="cs"/>
          <w:rtl/>
        </w:rPr>
        <w:t xml:space="preserve">(פורסם בנבו, 21.2.2012) ("חוק טל"); בג"ץ 7052/03 </w:t>
      </w:r>
      <w:proofErr w:type="spellStart"/>
      <w:r w:rsidRPr="00C07D61">
        <w:rPr>
          <w:rFonts w:hint="cs"/>
          <w:b/>
          <w:bCs/>
          <w:rtl/>
        </w:rPr>
        <w:t>עדאלה</w:t>
      </w:r>
      <w:proofErr w:type="spellEnd"/>
      <w:r w:rsidRPr="00C07D61">
        <w:rPr>
          <w:rFonts w:hint="cs"/>
          <w:b/>
          <w:bCs/>
          <w:rtl/>
        </w:rPr>
        <w:t xml:space="preserve"> נ' שר הפנים</w:t>
      </w:r>
      <w:r w:rsidRPr="00C07D61">
        <w:rPr>
          <w:rFonts w:hint="cs"/>
          <w:rtl/>
        </w:rPr>
        <w:t xml:space="preserve">, </w:t>
      </w:r>
      <w:proofErr w:type="spellStart"/>
      <w:r w:rsidRPr="00C07D61">
        <w:rPr>
          <w:rtl/>
        </w:rPr>
        <w:t>פ''ד</w:t>
      </w:r>
      <w:proofErr w:type="spellEnd"/>
      <w:r w:rsidRPr="00C07D61">
        <w:rPr>
          <w:rtl/>
        </w:rPr>
        <w:t xml:space="preserve"> </w:t>
      </w:r>
      <w:proofErr w:type="spellStart"/>
      <w:r w:rsidRPr="00C07D61">
        <w:rPr>
          <w:rtl/>
        </w:rPr>
        <w:t>סא</w:t>
      </w:r>
      <w:proofErr w:type="spellEnd"/>
      <w:r w:rsidRPr="00C07D61">
        <w:rPr>
          <w:rtl/>
        </w:rPr>
        <w:t>(2) 202</w:t>
      </w:r>
      <w:r w:rsidRPr="00C07D61">
        <w:rPr>
          <w:rFonts w:hint="cs"/>
          <w:rtl/>
        </w:rPr>
        <w:t xml:space="preserve"> (2006) ובג"ץ 466/07 </w:t>
      </w:r>
      <w:r w:rsidRPr="00C07D61">
        <w:rPr>
          <w:rFonts w:hint="cs"/>
          <w:b/>
          <w:bCs/>
          <w:rtl/>
        </w:rPr>
        <w:t>גלאון נ' היועץ המשפטי לממשלה</w:t>
      </w:r>
      <w:r w:rsidRPr="00C07D61">
        <w:rPr>
          <w:rFonts w:hint="cs"/>
          <w:rtl/>
        </w:rPr>
        <w:t xml:space="preserve"> (פורסם בנבו, 11.1.2012) ("חוק איחוד משפחות"). אלא שבמקרים חריגים אלה פסק הדין הראשון רמז למעשה על האפשרות להבאת עתירה חוזרת בשלב מאוחר יותר, ופסק הדין השני אכן התחשב בשינויי נסיבות משמעותיים שהתרחשו בתקופה שחלפה. </w:t>
      </w:r>
    </w:p>
  </w:footnote>
  <w:footnote w:id="5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בתקופה האחרונה מסתמנת גישה של בית המשפט להקשות על הבאת עתירות חוקתיות בשלבים בוסריים כאלה. הופעתה המחודשת של עילת הסף הדורשת "בשלות" של העתירה הביאה לחסימתן של כמה עתירות חוקתיות. ראו </w:t>
      </w:r>
      <w:r w:rsidRPr="00C07D61">
        <w:rPr>
          <w:rtl/>
        </w:rPr>
        <w:t>בג</w:t>
      </w:r>
      <w:r w:rsidRPr="00C07D61">
        <w:rPr>
          <w:rFonts w:hint="cs"/>
          <w:rtl/>
        </w:rPr>
        <w:t>"</w:t>
      </w:r>
      <w:r w:rsidRPr="00C07D61">
        <w:rPr>
          <w:rtl/>
        </w:rPr>
        <w:t xml:space="preserve">ץ 3429/11 </w:t>
      </w:r>
      <w:r w:rsidRPr="00C07D61">
        <w:rPr>
          <w:b/>
          <w:bCs/>
          <w:rtl/>
        </w:rPr>
        <w:t>בוגרי התיכון הערבי האורתודוקסי בחיפה נ' שר האוצר</w:t>
      </w:r>
      <w:r w:rsidRPr="00C07D61">
        <w:rPr>
          <w:rFonts w:hint="cs"/>
          <w:rtl/>
        </w:rPr>
        <w:t xml:space="preserve"> (פורסם בנבו, 5.1.2012); </w:t>
      </w:r>
      <w:r w:rsidRPr="00C07D61">
        <w:rPr>
          <w:rtl/>
        </w:rPr>
        <w:t>בג"ץ 3803/11</w:t>
      </w:r>
      <w:r w:rsidRPr="00C07D61">
        <w:rPr>
          <w:rFonts w:hint="cs"/>
          <w:rtl/>
        </w:rPr>
        <w:t xml:space="preserve"> </w:t>
      </w:r>
      <w:r w:rsidRPr="00C07D61">
        <w:rPr>
          <w:b/>
          <w:bCs/>
          <w:rtl/>
        </w:rPr>
        <w:t>איגוד הנאמנים בשוק ההון בישראל נ' מדינת ישראל</w:t>
      </w:r>
      <w:r w:rsidRPr="00C07D61">
        <w:rPr>
          <w:rFonts w:hint="cs"/>
          <w:rtl/>
        </w:rPr>
        <w:t xml:space="preserve"> (פורסם בנבו, </w:t>
      </w:r>
      <w:r w:rsidRPr="00C07D61">
        <w:rPr>
          <w:rtl/>
        </w:rPr>
        <w:t>5.2.2012</w:t>
      </w:r>
      <w:r w:rsidRPr="00C07D61">
        <w:rPr>
          <w:rFonts w:hint="cs"/>
          <w:rtl/>
        </w:rPr>
        <w:t xml:space="preserve">). לביקורת ראו ילנה </w:t>
      </w:r>
      <w:proofErr w:type="spellStart"/>
      <w:r w:rsidRPr="00C07D61">
        <w:rPr>
          <w:rFonts w:hint="cs"/>
          <w:rtl/>
        </w:rPr>
        <w:t>צצקו</w:t>
      </w:r>
      <w:proofErr w:type="spellEnd"/>
      <w:r w:rsidRPr="00C07D61">
        <w:rPr>
          <w:rFonts w:hint="cs"/>
          <w:rtl/>
        </w:rPr>
        <w:t xml:space="preserve"> "על בשלות וחוקתיות" </w:t>
      </w:r>
      <w:r w:rsidRPr="00C07D61">
        <w:rPr>
          <w:rFonts w:hint="cs"/>
          <w:b/>
          <w:bCs/>
          <w:rtl/>
        </w:rPr>
        <w:t>משפטים</w:t>
      </w:r>
      <w:r w:rsidRPr="00C07D61">
        <w:rPr>
          <w:rFonts w:hint="cs"/>
          <w:rtl/>
        </w:rPr>
        <w:t xml:space="preserve"> מג 419 (תשע"ג). </w:t>
      </w:r>
    </w:p>
  </w:footnote>
  <w:footnote w:id="5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הטיעון האקדמי המפורט ביותר בזכות מודל זה הובא אצל אורן סופר וגבריאלה </w:t>
      </w:r>
      <w:proofErr w:type="spellStart"/>
      <w:r w:rsidRPr="00C07D61">
        <w:rPr>
          <w:rFonts w:hint="cs"/>
          <w:rtl/>
        </w:rPr>
        <w:t>פיסמן</w:t>
      </w:r>
      <w:proofErr w:type="spellEnd"/>
      <w:r w:rsidRPr="00C07D61">
        <w:rPr>
          <w:rFonts w:hint="cs"/>
          <w:rtl/>
        </w:rPr>
        <w:t xml:space="preserve"> "ביקורת שיפוטית בחברה מקוטבת" </w:t>
      </w:r>
      <w:r w:rsidRPr="00C07D61">
        <w:rPr>
          <w:rFonts w:hint="cs"/>
          <w:b/>
          <w:bCs/>
          <w:rtl/>
        </w:rPr>
        <w:t>עיוני משפט</w:t>
      </w:r>
      <w:r w:rsidRPr="00C07D61">
        <w:rPr>
          <w:rFonts w:hint="cs"/>
          <w:rtl/>
        </w:rPr>
        <w:t xml:space="preserve"> כד 663, 694-688 (2001). כן ראו </w:t>
      </w:r>
      <w:r w:rsidRPr="00C07D61">
        <w:rPr>
          <w:rtl/>
        </w:rPr>
        <w:t>יואב דותן</w:t>
      </w:r>
      <w:r w:rsidRPr="00C07D61">
        <w:rPr>
          <w:rFonts w:hint="cs"/>
          <w:rtl/>
        </w:rPr>
        <w:t xml:space="preserve">, </w:t>
      </w:r>
      <w:r w:rsidRPr="00C07D61">
        <w:rPr>
          <w:rtl/>
        </w:rPr>
        <w:t>הביקורת השיפוטית במסגרת חוקה:</w:t>
      </w:r>
      <w:r w:rsidRPr="00C07D61">
        <w:rPr>
          <w:rFonts w:hint="cs"/>
          <w:rtl/>
        </w:rPr>
        <w:t xml:space="preserve"> </w:t>
      </w:r>
      <w:r w:rsidRPr="00C07D61">
        <w:rPr>
          <w:rtl/>
        </w:rPr>
        <w:t>שאלת האחריותיות</w:t>
      </w:r>
      <w:r w:rsidRPr="00C07D61">
        <w:rPr>
          <w:rFonts w:hint="cs"/>
          <w:rtl/>
        </w:rPr>
        <w:t xml:space="preserve"> </w:t>
      </w:r>
      <w:r w:rsidRPr="00C07D61">
        <w:rPr>
          <w:rtl/>
        </w:rPr>
        <w:t>–</w:t>
      </w:r>
      <w:r w:rsidRPr="00C07D61">
        <w:rPr>
          <w:rFonts w:hint="cs"/>
          <w:rtl/>
        </w:rPr>
        <w:t xml:space="preserve"> </w:t>
      </w:r>
      <w:r w:rsidRPr="00C07D61">
        <w:rPr>
          <w:rtl/>
        </w:rPr>
        <w:t>מבט השוואתי</w:t>
      </w:r>
      <w:r w:rsidRPr="00C07D61">
        <w:rPr>
          <w:rFonts w:hint="cs"/>
          <w:rtl/>
        </w:rPr>
        <w:t xml:space="preserve">, </w:t>
      </w:r>
      <w:r w:rsidRPr="00C07D61">
        <w:rPr>
          <w:rFonts w:hint="cs"/>
          <w:b/>
          <w:bCs/>
          <w:rtl/>
        </w:rPr>
        <w:t>משפט וממשל</w:t>
      </w:r>
      <w:r w:rsidRPr="00C07D61">
        <w:rPr>
          <w:rFonts w:hint="cs"/>
          <w:rtl/>
        </w:rPr>
        <w:t xml:space="preserve"> י 489, 504-502 (תשס"ז).</w:t>
      </w:r>
    </w:p>
  </w:footnote>
  <w:footnote w:id="5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אהרן ברק "בית-משפט העליון כבית משפט לחוקה" </w:t>
      </w:r>
      <w:r w:rsidRPr="00C07D61">
        <w:rPr>
          <w:rFonts w:hint="cs"/>
          <w:b/>
          <w:bCs/>
          <w:rtl/>
        </w:rPr>
        <w:t xml:space="preserve">משפט וממשל </w:t>
      </w:r>
      <w:r w:rsidRPr="00C07D61">
        <w:rPr>
          <w:rFonts w:hint="cs"/>
          <w:rtl/>
        </w:rPr>
        <w:t xml:space="preserve">ו 315 (תשס"ג). </w:t>
      </w:r>
    </w:p>
  </w:footnote>
  <w:footnote w:id="5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שם בעמ' 322-321. </w:t>
      </w:r>
    </w:p>
  </w:footnote>
  <w:footnote w:id="5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שם בעמ' 320-318.</w:t>
      </w:r>
    </w:p>
  </w:footnote>
  <w:footnote w:id="5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אהרן ברק "ביקורת שיפוטית על חוקתיות החוק: צנטרליסטית (ריכוזית) או דה-צנטרליסטית (מבוזרת)" </w:t>
      </w:r>
      <w:r w:rsidRPr="00C07D61">
        <w:rPr>
          <w:rFonts w:hint="cs"/>
          <w:b/>
          <w:bCs/>
          <w:rtl/>
        </w:rPr>
        <w:t>משפט וממשל</w:t>
      </w:r>
      <w:r w:rsidRPr="00C07D61">
        <w:rPr>
          <w:rFonts w:hint="cs"/>
          <w:rtl/>
        </w:rPr>
        <w:t xml:space="preserve"> ח 13 (תשס"ה).</w:t>
      </w:r>
    </w:p>
  </w:footnote>
  <w:footnote w:id="5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שם בעמ' 20-19.</w:t>
      </w:r>
    </w:p>
  </w:footnote>
  <w:footnote w:id="5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שם בעמ' 21-20.</w:t>
      </w:r>
    </w:p>
  </w:footnote>
  <w:footnote w:id="5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שם בעמ' 22. </w:t>
      </w:r>
    </w:p>
  </w:footnote>
  <w:footnote w:id="5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יצחק זמיר "הביקורת השיפוטית על חוקיות חוקים" </w:t>
      </w:r>
      <w:r w:rsidRPr="00C07D61">
        <w:rPr>
          <w:rFonts w:hint="cs"/>
          <w:b/>
          <w:bCs/>
          <w:rtl/>
        </w:rPr>
        <w:t>משפט וממשל</w:t>
      </w:r>
      <w:r w:rsidRPr="00C07D61">
        <w:rPr>
          <w:rFonts w:hint="cs"/>
          <w:rtl/>
        </w:rPr>
        <w:t xml:space="preserve"> א 395, 410-408 (תשנ"ג); זאב סגל "</w:t>
      </w:r>
      <w:r w:rsidRPr="00C07D61">
        <w:rPr>
          <w:rtl/>
        </w:rPr>
        <w:t>הד</w:t>
      </w:r>
      <w:r w:rsidRPr="00C07D61">
        <w:rPr>
          <w:rFonts w:hint="cs"/>
          <w:rtl/>
        </w:rPr>
        <w:t>רך</w:t>
      </w:r>
      <w:r w:rsidRPr="00C07D61">
        <w:rPr>
          <w:rtl/>
        </w:rPr>
        <w:t xml:space="preserve"> לביקורת שיפוטית על חוקתיות של חוקים</w:t>
      </w:r>
      <w:r w:rsidRPr="00C07D61">
        <w:rPr>
          <w:rFonts w:hint="cs"/>
          <w:rtl/>
        </w:rPr>
        <w:t xml:space="preserve"> </w:t>
      </w:r>
      <w:r w:rsidRPr="00C07D61">
        <w:rPr>
          <w:rtl/>
        </w:rPr>
        <w:t>–</w:t>
      </w:r>
      <w:r w:rsidRPr="00C07D61">
        <w:rPr>
          <w:rFonts w:hint="cs"/>
          <w:rtl/>
        </w:rPr>
        <w:t xml:space="preserve"> </w:t>
      </w:r>
      <w:r w:rsidRPr="00C07D61">
        <w:rPr>
          <w:rtl/>
        </w:rPr>
        <w:t>הסמכות לה</w:t>
      </w:r>
      <w:r w:rsidRPr="00C07D61">
        <w:rPr>
          <w:rFonts w:hint="cs"/>
          <w:rtl/>
        </w:rPr>
        <w:t>כ</w:t>
      </w:r>
      <w:r w:rsidRPr="00C07D61">
        <w:rPr>
          <w:rtl/>
        </w:rPr>
        <w:t>ריז על אי</w:t>
      </w:r>
      <w:r w:rsidRPr="00C07D61">
        <w:rPr>
          <w:rFonts w:hint="cs"/>
          <w:rtl/>
        </w:rPr>
        <w:t>-</w:t>
      </w:r>
      <w:r w:rsidRPr="00C07D61">
        <w:rPr>
          <w:rtl/>
        </w:rPr>
        <w:t>חוקתיות חקיקה – למי</w:t>
      </w:r>
      <w:r w:rsidRPr="00C07D61">
        <w:rPr>
          <w:rFonts w:hint="cs"/>
          <w:rtl/>
        </w:rPr>
        <w:t xml:space="preserve">?" </w:t>
      </w:r>
      <w:r w:rsidRPr="00C07D61">
        <w:rPr>
          <w:rFonts w:hint="cs"/>
          <w:b/>
          <w:bCs/>
          <w:rtl/>
        </w:rPr>
        <w:t>משפטים</w:t>
      </w:r>
      <w:r w:rsidRPr="00C07D61">
        <w:rPr>
          <w:rFonts w:hint="cs"/>
          <w:rtl/>
        </w:rPr>
        <w:t xml:space="preserve"> </w:t>
      </w:r>
      <w:proofErr w:type="spellStart"/>
      <w:r w:rsidRPr="00C07D61">
        <w:rPr>
          <w:rFonts w:hint="cs"/>
          <w:rtl/>
        </w:rPr>
        <w:t>כח</w:t>
      </w:r>
      <w:proofErr w:type="spellEnd"/>
      <w:r w:rsidRPr="00C07D61">
        <w:rPr>
          <w:rFonts w:hint="cs"/>
          <w:rtl/>
        </w:rPr>
        <w:t xml:space="preserve"> 239 (תשנ"ז); קלוד קליין "</w:t>
      </w:r>
      <w:r w:rsidRPr="00C07D61">
        <w:rPr>
          <w:rtl/>
        </w:rPr>
        <w:t>בית</w:t>
      </w:r>
      <w:r w:rsidRPr="00C07D61">
        <w:rPr>
          <w:rFonts w:hint="cs"/>
          <w:rtl/>
        </w:rPr>
        <w:t>-</w:t>
      </w:r>
      <w:r w:rsidRPr="00C07D61">
        <w:rPr>
          <w:rtl/>
        </w:rPr>
        <w:t>דין לחוקה: שלא כצעקתה!</w:t>
      </w:r>
      <w:r w:rsidRPr="00C07D61">
        <w:rPr>
          <w:rFonts w:hint="cs"/>
          <w:rtl/>
        </w:rPr>
        <w:t xml:space="preserve">" </w:t>
      </w:r>
      <w:r w:rsidRPr="00C07D61">
        <w:rPr>
          <w:rFonts w:hint="cs"/>
          <w:b/>
          <w:bCs/>
          <w:rtl/>
        </w:rPr>
        <w:t>מחקרי משפט</w:t>
      </w:r>
      <w:r w:rsidRPr="00C07D61">
        <w:rPr>
          <w:rFonts w:hint="cs"/>
          <w:rtl/>
        </w:rPr>
        <w:t xml:space="preserve"> </w:t>
      </w:r>
      <w:proofErr w:type="spellStart"/>
      <w:r w:rsidRPr="00C07D61">
        <w:rPr>
          <w:rFonts w:hint="cs"/>
          <w:rtl/>
        </w:rPr>
        <w:t>יט</w:t>
      </w:r>
      <w:proofErr w:type="spellEnd"/>
      <w:r w:rsidRPr="00C07D61">
        <w:rPr>
          <w:rFonts w:hint="cs"/>
          <w:rtl/>
        </w:rPr>
        <w:t xml:space="preserve"> 497 (תשס"ג); סופר </w:t>
      </w:r>
      <w:proofErr w:type="spellStart"/>
      <w:r w:rsidRPr="00C07D61">
        <w:rPr>
          <w:rFonts w:hint="cs"/>
          <w:rtl/>
        </w:rPr>
        <w:t>ופיסמן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018 \h  \* MERGEFORMAT ">
        <w:r w:rsidR="00DE2615">
          <w:t>50</w:t>
        </w:r>
      </w:fldSimple>
      <w:r w:rsidRPr="00C07D61">
        <w:rPr>
          <w:rFonts w:hint="cs"/>
          <w:rtl/>
        </w:rPr>
        <w:t>.</w:t>
      </w:r>
    </w:p>
  </w:footnote>
  <w:footnote w:id="6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בעיקר גדעון ספיר </w:t>
      </w:r>
      <w:r w:rsidRPr="00C07D61">
        <w:rPr>
          <w:rFonts w:hint="cs"/>
          <w:b/>
          <w:bCs/>
          <w:rtl/>
        </w:rPr>
        <w:t>המהפכה החוקתית: עבר, הווה ועתיד</w:t>
      </w:r>
      <w:r w:rsidRPr="00C07D61">
        <w:rPr>
          <w:rFonts w:hint="cs"/>
          <w:rtl/>
        </w:rPr>
        <w:t xml:space="preserve"> 147-142 (2010) (הצגת טיעון לפיו המודל הריכוזי "איננו נחוץ להגשמת המטרות שלשמן הוא נבחר, לא ברור כלל אם הוא אפשרי וייתכן שנזקו גדול מתועלתו" (</w:t>
      </w:r>
      <w:r w:rsidRPr="00C07D61">
        <w:rPr>
          <w:rFonts w:hint="cs"/>
          <w:b/>
          <w:bCs/>
          <w:rtl/>
        </w:rPr>
        <w:t>שם</w:t>
      </w:r>
      <w:r w:rsidRPr="00C07D61">
        <w:rPr>
          <w:rFonts w:hint="cs"/>
          <w:rtl/>
        </w:rPr>
        <w:t xml:space="preserve"> בעמ' 146); יואב דותן "האם ישראל צריכה בית-משפט לחוקה?" </w:t>
      </w:r>
      <w:r w:rsidRPr="00C07D61">
        <w:rPr>
          <w:rFonts w:hint="cs"/>
          <w:b/>
          <w:bCs/>
          <w:rtl/>
        </w:rPr>
        <w:t>משפט וממשל</w:t>
      </w:r>
      <w:r w:rsidRPr="00C07D61">
        <w:rPr>
          <w:rFonts w:hint="cs"/>
          <w:rtl/>
        </w:rPr>
        <w:t xml:space="preserve"> ה 117 (תש"ס) (ביקורת הרעיון להקים ערכאה חוקתית נפרדת, מתוך השוואה למאפייני פעילותו של בית המשפט העליון בתחום החוקתי; ללא התמקדות במאפייניה של השפיטה החוקתית בערכאות הדיון). </w:t>
      </w:r>
    </w:p>
  </w:footnote>
  <w:footnote w:id="6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חריג בנוף זה הוא אמנון רייכמן "גשרון צר מאוד: חוקה, צדק, יושר וסעד בעקבות פרשת "הפורום לדו-קיום בנגב" </w:t>
      </w:r>
      <w:r w:rsidRPr="00C07D61">
        <w:rPr>
          <w:rFonts w:hint="cs"/>
          <w:b/>
          <w:bCs/>
          <w:rtl/>
        </w:rPr>
        <w:t>משפטים</w:t>
      </w:r>
      <w:r w:rsidRPr="00C07D61">
        <w:rPr>
          <w:rFonts w:hint="cs"/>
          <w:rtl/>
        </w:rPr>
        <w:t xml:space="preserve"> </w:t>
      </w:r>
      <w:proofErr w:type="spellStart"/>
      <w:r w:rsidRPr="00C07D61">
        <w:rPr>
          <w:rFonts w:hint="cs"/>
          <w:rtl/>
        </w:rPr>
        <w:t>לז</w:t>
      </w:r>
      <w:proofErr w:type="spellEnd"/>
      <w:r w:rsidRPr="00C07D61">
        <w:rPr>
          <w:rFonts w:hint="cs"/>
          <w:rtl/>
        </w:rPr>
        <w:t xml:space="preserve"> 701, 737-736 (תשס"ז); אמנון רייכמן </w:t>
      </w:r>
      <w:r w:rsidRPr="00C07D61">
        <w:rPr>
          <w:rtl/>
        </w:rPr>
        <w:t xml:space="preserve">"קול אמריקה בעברית? פנייתו של בית-המשפט הישראלי אל הדין האמריקני בסוגיית חופש הביטוי" </w:t>
      </w:r>
      <w:r w:rsidRPr="00C07D61">
        <w:rPr>
          <w:bCs/>
          <w:rtl/>
        </w:rPr>
        <w:t>משפט חברה ותרבות: שקט, מדברים!</w:t>
      </w:r>
      <w:r w:rsidRPr="00C07D61">
        <w:rPr>
          <w:rtl/>
        </w:rPr>
        <w:t xml:space="preserve"> </w:t>
      </w:r>
      <w:r w:rsidRPr="00C07D61">
        <w:rPr>
          <w:rtl/>
        </w:rPr>
        <w:t>185, 238-236 (תשס"ו</w:t>
      </w:r>
      <w:r w:rsidRPr="00E97708">
        <w:rPr>
          <w:rtl/>
        </w:rPr>
        <w:t>)</w:t>
      </w:r>
      <w:r w:rsidRPr="00E97708">
        <w:rPr>
          <w:rFonts w:hint="cs"/>
          <w:rtl/>
        </w:rPr>
        <w:t>.</w:t>
      </w:r>
      <w:r w:rsidR="009C0111" w:rsidRPr="00E97708">
        <w:rPr>
          <w:rFonts w:hint="cs"/>
          <w:rtl/>
        </w:rPr>
        <w:t xml:space="preserve"> כן ראו </w:t>
      </w:r>
      <w:r w:rsidR="00E97708" w:rsidRPr="00E97708">
        <w:rPr>
          <w:rFonts w:hint="cs"/>
          <w:rtl/>
        </w:rPr>
        <w:t>רונן</w:t>
      </w:r>
      <w:r w:rsidR="00E97708" w:rsidRPr="00C07D61">
        <w:rPr>
          <w:rFonts w:hint="cs"/>
          <w:rtl/>
        </w:rPr>
        <w:t xml:space="preserve"> פוליאק "בשלות יחסית: ביקורת שיפוטית חוקתית יישומית או מופשטת" </w:t>
      </w:r>
      <w:r w:rsidR="00E97708" w:rsidRPr="00C07D61">
        <w:rPr>
          <w:rFonts w:hint="cs"/>
          <w:b/>
          <w:bCs/>
          <w:rtl/>
        </w:rPr>
        <w:t>עיוני משפט</w:t>
      </w:r>
      <w:r w:rsidR="00E97708" w:rsidRPr="00C07D61">
        <w:rPr>
          <w:rFonts w:hint="cs"/>
          <w:rtl/>
        </w:rPr>
        <w:t xml:space="preserve"> </w:t>
      </w:r>
      <w:proofErr w:type="spellStart"/>
      <w:r w:rsidR="00E97708" w:rsidRPr="00C07D61">
        <w:rPr>
          <w:rFonts w:hint="cs"/>
          <w:rtl/>
        </w:rPr>
        <w:t>לז</w:t>
      </w:r>
      <w:proofErr w:type="spellEnd"/>
      <w:r w:rsidR="00E97708" w:rsidRPr="00C07D61">
        <w:rPr>
          <w:rFonts w:hint="cs"/>
          <w:rtl/>
        </w:rPr>
        <w:t>(1) (צפוי להתפרסם 201</w:t>
      </w:r>
      <w:r w:rsidR="00E97708">
        <w:rPr>
          <w:rFonts w:hint="cs"/>
          <w:rtl/>
        </w:rPr>
        <w:t>4</w:t>
      </w:r>
      <w:r w:rsidR="00E97708" w:rsidRPr="00C07D61">
        <w:rPr>
          <w:rFonts w:hint="cs"/>
          <w:rtl/>
        </w:rPr>
        <w:t xml:space="preserve">) </w:t>
      </w:r>
      <w:hyperlink r:id="rId5" w:history="1">
        <w:r w:rsidR="00E97708" w:rsidRPr="00C07D61">
          <w:rPr>
            <w:rStyle w:val="Hyperlink"/>
          </w:rPr>
          <w:t>http://tinyurl.com/p3uuo5v</w:t>
        </w:r>
      </w:hyperlink>
      <w:r w:rsidR="00E97708">
        <w:rPr>
          <w:rFonts w:hint="cs"/>
          <w:rtl/>
        </w:rPr>
        <w:t>.</w:t>
      </w:r>
    </w:p>
  </w:footnote>
  <w:footnote w:id="62">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ראו למשל ס' 103 ל"הצעת חוקה למדינת ישראל" של פרופ' בנימין אקצין מ-1965 (</w:t>
      </w:r>
      <w:hyperlink r:id="rId6" w:history="1">
        <w:r w:rsidRPr="00C07D61">
          <w:rPr>
            <w:rStyle w:val="Hyperlink"/>
          </w:rPr>
          <w:t>http://www.huka.gov.il/wiki/makor/39.pdf</w:t>
        </w:r>
      </w:hyperlink>
      <w:r w:rsidRPr="00C07D61">
        <w:rPr>
          <w:rFonts w:hint="cs"/>
          <w:rtl/>
        </w:rPr>
        <w:t xml:space="preserve">); ס' 12 להצעת חוק-יסוד: החקיקה, </w:t>
      </w:r>
      <w:proofErr w:type="spellStart"/>
      <w:r w:rsidRPr="00C07D61">
        <w:rPr>
          <w:rFonts w:hint="cs"/>
          <w:b/>
          <w:bCs/>
          <w:rtl/>
        </w:rPr>
        <w:t>ה"ח</w:t>
      </w:r>
      <w:proofErr w:type="spellEnd"/>
      <w:r w:rsidRPr="00C07D61">
        <w:rPr>
          <w:rFonts w:hint="cs"/>
          <w:rtl/>
        </w:rPr>
        <w:t xml:space="preserve"> 1221 </w:t>
      </w:r>
      <w:proofErr w:type="spellStart"/>
      <w:r w:rsidRPr="00C07D61">
        <w:rPr>
          <w:rFonts w:hint="cs"/>
          <w:rtl/>
        </w:rPr>
        <w:t>עמ</w:t>
      </w:r>
      <w:proofErr w:type="spellEnd"/>
      <w:r w:rsidRPr="00C07D61">
        <w:rPr>
          <w:rFonts w:hint="cs"/>
          <w:rtl/>
        </w:rPr>
        <w:t xml:space="preserve">' 135 (7.12.1975); ס' 14-13 להצעת חוק-יסוד: החקיקה, </w:t>
      </w:r>
      <w:proofErr w:type="spellStart"/>
      <w:r w:rsidRPr="00C07D61">
        <w:rPr>
          <w:rFonts w:hint="cs"/>
          <w:b/>
          <w:bCs/>
          <w:rtl/>
        </w:rPr>
        <w:t>ה"ח</w:t>
      </w:r>
      <w:proofErr w:type="spellEnd"/>
      <w:r w:rsidRPr="00C07D61">
        <w:rPr>
          <w:rFonts w:hint="cs"/>
          <w:rtl/>
        </w:rPr>
        <w:t xml:space="preserve"> 1364 </w:t>
      </w:r>
      <w:proofErr w:type="spellStart"/>
      <w:r w:rsidRPr="00C07D61">
        <w:rPr>
          <w:rFonts w:hint="cs"/>
          <w:rtl/>
        </w:rPr>
        <w:t>עמ</w:t>
      </w:r>
      <w:proofErr w:type="spellEnd"/>
      <w:r w:rsidRPr="00C07D61">
        <w:rPr>
          <w:rFonts w:hint="cs"/>
          <w:rtl/>
        </w:rPr>
        <w:t xml:space="preserve">' 326 (1.8.1978); ס' 36-35 להצעת חוק-יסוד: החקיקה, </w:t>
      </w:r>
      <w:proofErr w:type="spellStart"/>
      <w:r w:rsidRPr="00C07D61">
        <w:rPr>
          <w:rFonts w:hint="cs"/>
          <w:b/>
          <w:bCs/>
          <w:rtl/>
        </w:rPr>
        <w:t>ה"ח</w:t>
      </w:r>
      <w:proofErr w:type="spellEnd"/>
      <w:r w:rsidRPr="00C07D61">
        <w:rPr>
          <w:rFonts w:hint="cs"/>
          <w:rtl/>
        </w:rPr>
        <w:t xml:space="preserve"> 2100 </w:t>
      </w:r>
      <w:proofErr w:type="spellStart"/>
      <w:r w:rsidRPr="00C07D61">
        <w:rPr>
          <w:rFonts w:hint="cs"/>
          <w:rtl/>
        </w:rPr>
        <w:t>עמ</w:t>
      </w:r>
      <w:proofErr w:type="spellEnd"/>
      <w:r w:rsidRPr="00C07D61">
        <w:rPr>
          <w:rFonts w:hint="cs"/>
          <w:rtl/>
        </w:rPr>
        <w:t>' 149 (13.1.1992).</w:t>
      </w:r>
    </w:p>
  </w:footnote>
  <w:footnote w:id="6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אמנון רובינשטיין "סיפורם של חוקי היסוד" </w:t>
      </w:r>
      <w:r w:rsidRPr="00C07D61">
        <w:rPr>
          <w:rFonts w:hint="cs"/>
          <w:b/>
          <w:bCs/>
          <w:rtl/>
        </w:rPr>
        <w:t xml:space="preserve">משפט ואדם </w:t>
      </w:r>
      <w:r w:rsidRPr="00C07D61">
        <w:rPr>
          <w:b/>
          <w:bCs/>
          <w:rtl/>
        </w:rPr>
        <w:t>–</w:t>
      </w:r>
      <w:r w:rsidRPr="00C07D61">
        <w:rPr>
          <w:rFonts w:hint="cs"/>
          <w:b/>
          <w:bCs/>
          <w:rtl/>
        </w:rPr>
        <w:t xml:space="preserve"> משפט ועסקים</w:t>
      </w:r>
      <w:r w:rsidRPr="00C07D61">
        <w:rPr>
          <w:rFonts w:hint="cs"/>
          <w:rtl/>
        </w:rPr>
        <w:t xml:space="preserve"> יד 79, 98-97 (תשע"ב).</w:t>
      </w:r>
    </w:p>
  </w:footnote>
  <w:footnote w:id="64">
    <w:p w:rsidR="009F0DE7" w:rsidRPr="00C07D61" w:rsidRDefault="009F0DE7" w:rsidP="00511BD0">
      <w:pPr>
        <w:pStyle w:val="FootnoteText"/>
        <w:spacing w:afterLines="40"/>
        <w:jc w:val="both"/>
      </w:pPr>
      <w:r w:rsidRPr="00C07D61">
        <w:rPr>
          <w:rStyle w:val="FootnoteReference"/>
        </w:rPr>
        <w:footnoteRef/>
      </w:r>
      <w:r w:rsidRPr="00C07D61">
        <w:rPr>
          <w:rtl/>
        </w:rPr>
        <w:t xml:space="preserve"> פרוטוקול ישיבה מס' 275 של ועדת החוקה, חוק ומשפט, הכנסת ה- 12 (1.7.1991)</w:t>
      </w:r>
      <w:r w:rsidRPr="00C07D61">
        <w:rPr>
          <w:rFonts w:hint="cs"/>
          <w:rtl/>
        </w:rPr>
        <w:t xml:space="preserve"> (מובא אצל רובינשטיין, </w:t>
      </w:r>
      <w:r w:rsidRPr="00C07D61">
        <w:rPr>
          <w:rFonts w:hint="cs"/>
          <w:b/>
          <w:bCs/>
          <w:rtl/>
        </w:rPr>
        <w:t>שם</w:t>
      </w:r>
      <w:r w:rsidRPr="00C07D61">
        <w:rPr>
          <w:rFonts w:hint="cs"/>
          <w:rtl/>
        </w:rPr>
        <w:t xml:space="preserve">, בעמ' 99-98). </w:t>
      </w:r>
    </w:p>
  </w:footnote>
  <w:footnote w:id="65">
    <w:p w:rsidR="009F0DE7" w:rsidRPr="00C07D61" w:rsidRDefault="009F0DE7" w:rsidP="00511BD0">
      <w:pPr>
        <w:pStyle w:val="FootnoteText"/>
        <w:spacing w:afterLines="40"/>
        <w:jc w:val="both"/>
      </w:pPr>
      <w:r w:rsidRPr="00C07D61">
        <w:rPr>
          <w:rStyle w:val="FootnoteReference"/>
        </w:rPr>
        <w:footnoteRef/>
      </w:r>
      <w:r w:rsidRPr="00C07D61">
        <w:rPr>
          <w:rtl/>
        </w:rPr>
        <w:t xml:space="preserve"> "חוקה בהסכמה" – הצעת המכון הישראלי לדמוקרטיה בהנהגת השופט מאיר שמגר, ס</w:t>
      </w:r>
      <w:r w:rsidRPr="00C07D61">
        <w:rPr>
          <w:rFonts w:hint="cs"/>
          <w:rtl/>
        </w:rPr>
        <w:t>'</w:t>
      </w:r>
      <w:r w:rsidRPr="00C07D61">
        <w:rPr>
          <w:rtl/>
        </w:rPr>
        <w:t xml:space="preserve"> 164-163 (2005) </w:t>
      </w:r>
      <w:hyperlink r:id="rId7" w:history="1">
        <w:r w:rsidRPr="00C07D61">
          <w:rPr>
            <w:rStyle w:val="Hyperlink"/>
          </w:rPr>
          <w:t>http://tinyurl.com/qebubzq</w:t>
        </w:r>
      </w:hyperlink>
      <w:r w:rsidRPr="00C07D61">
        <w:rPr>
          <w:rFonts w:hint="cs"/>
          <w:rtl/>
        </w:rPr>
        <w:t xml:space="preserve">. </w:t>
      </w:r>
    </w:p>
  </w:footnote>
  <w:footnote w:id="66">
    <w:p w:rsidR="009F0DE7" w:rsidRPr="00C07D61" w:rsidRDefault="009F0DE7" w:rsidP="00511BD0">
      <w:pPr>
        <w:pStyle w:val="FootnoteText"/>
        <w:spacing w:afterLines="40"/>
        <w:jc w:val="both"/>
      </w:pPr>
      <w:r w:rsidRPr="00C07D61">
        <w:rPr>
          <w:rStyle w:val="FootnoteReference"/>
        </w:rPr>
        <w:footnoteRef/>
      </w:r>
      <w:r w:rsidRPr="00C07D61">
        <w:rPr>
          <w:rtl/>
        </w:rPr>
        <w:t xml:space="preserve"> "חוקה בהסכמה רחבה" – דו"ח ועדת החוקה, חוק ומשפט של הכנסת בעניין הצעות לחוקת מדינת ישראל, </w:t>
      </w:r>
      <w:r w:rsidRPr="00C07D61">
        <w:rPr>
          <w:rFonts w:hint="cs"/>
          <w:rtl/>
        </w:rPr>
        <w:t>פרק שישי, ס'</w:t>
      </w:r>
      <w:r w:rsidRPr="00C07D61">
        <w:rPr>
          <w:rtl/>
        </w:rPr>
        <w:t xml:space="preserve"> 13 (2006) </w:t>
      </w:r>
      <w:hyperlink r:id="rId8" w:history="1">
        <w:r w:rsidRPr="00C07D61">
          <w:rPr>
            <w:rStyle w:val="Hyperlink"/>
          </w:rPr>
          <w:t>http://tinyurl.com/2w8yvbs</w:t>
        </w:r>
      </w:hyperlink>
      <w:r w:rsidRPr="00C07D61">
        <w:rPr>
          <w:rFonts w:hint="cs"/>
          <w:rtl/>
        </w:rPr>
        <w:t>. הטיוטה של ועדת החוקה, חוק ומשפט כוללת חלופה נוספת ("גרסה ב'"), בה יוסמכו גם ערכאות הדיון להכריע בשאלות של תקפות חוקתית, אך החלטות כאלה תהיינה טעונות אישור של בית המשפט העליון.</w:t>
      </w:r>
    </w:p>
  </w:footnote>
  <w:footnote w:id="67">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"חוקת מדינת ישראל" </w:t>
      </w:r>
      <w:r w:rsidRPr="00C07D61">
        <w:rPr>
          <w:rtl/>
        </w:rPr>
        <w:t>–</w:t>
      </w:r>
      <w:r w:rsidRPr="00C07D61">
        <w:rPr>
          <w:rFonts w:hint="cs"/>
          <w:rtl/>
        </w:rPr>
        <w:t xml:space="preserve"> הצעת המכון לאסטרטגיה ציונית, ס' 93-90 (2006) </w:t>
      </w:r>
      <w:hyperlink r:id="rId9" w:history="1">
        <w:r w:rsidRPr="00C07D61">
          <w:rPr>
            <w:rStyle w:val="Hyperlink"/>
          </w:rPr>
          <w:t>http://tinyurl.com/pe6nzy9</w:t>
        </w:r>
      </w:hyperlink>
      <w:r w:rsidRPr="00C07D61">
        <w:rPr>
          <w:rFonts w:hint="cs"/>
          <w:rtl/>
        </w:rPr>
        <w:t>.</w:t>
      </w:r>
    </w:p>
  </w:footnote>
  <w:footnote w:id="6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ס' 1 לתזכיר חוק-יסוד: השפיטה (תיקון </w:t>
      </w:r>
      <w:r w:rsidRPr="00C07D61">
        <w:rPr>
          <w:rtl/>
        </w:rPr>
        <w:t>–</w:t>
      </w:r>
      <w:r w:rsidRPr="00C07D61">
        <w:rPr>
          <w:rFonts w:hint="cs"/>
          <w:rtl/>
        </w:rPr>
        <w:t xml:space="preserve"> ביקורת שיפוטית על תוקפם של חוקים) (משרד המשפטים, 2007) </w:t>
      </w:r>
      <w:hyperlink r:id="rId10" w:history="1">
        <w:r w:rsidRPr="00C07D61">
          <w:rPr>
            <w:rStyle w:val="Hyperlink"/>
          </w:rPr>
          <w:t>http://tinyurl.com/7kkuah</w:t>
        </w:r>
      </w:hyperlink>
      <w:r w:rsidRPr="00C07D61">
        <w:rPr>
          <w:rFonts w:hint="cs"/>
          <w:rtl/>
        </w:rPr>
        <w:t>.</w:t>
      </w:r>
    </w:p>
  </w:footnote>
  <w:footnote w:id="69">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ס' 24 לתזכיר חוק-יסוד: החקיקה (משרד המשפטים, 2012) </w:t>
      </w:r>
      <w:hyperlink r:id="rId11" w:history="1">
        <w:r w:rsidRPr="00C07D61">
          <w:rPr>
            <w:rStyle w:val="Hyperlink"/>
          </w:rPr>
          <w:t>http://tinyurl.com/76fen9c</w:t>
        </w:r>
      </w:hyperlink>
      <w:r w:rsidRPr="00C07D61">
        <w:rPr>
          <w:rFonts w:hint="cs"/>
          <w:rtl/>
        </w:rPr>
        <w:t>.</w:t>
      </w:r>
    </w:p>
  </w:footnote>
  <w:footnote w:id="7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כן ראו </w:t>
      </w:r>
      <w:r w:rsidRPr="00C07D61">
        <w:rPr>
          <w:rFonts w:hint="eastAsia"/>
          <w:rtl/>
        </w:rPr>
        <w:t>§</w:t>
      </w:r>
      <w:r w:rsidRPr="00C07D61">
        <w:rPr>
          <w:rFonts w:hint="cs"/>
          <w:rtl/>
        </w:rPr>
        <w:t xml:space="preserve"> 86 לדו"ח הוועדה לבדיקת מבנה בתי המשפט הרגילים בישראל ("ועדת אור") מאוגוסט 1997, המציע להעביר לבית המשפט העליון באופן ישיר שאלות בדבר חוקתיותו של דבר חקיקה ראשית המתעוררות בערכאות הדיון (מובא ב</w:t>
      </w:r>
      <w:r w:rsidRPr="00C07D61">
        <w:rPr>
          <w:rFonts w:hint="cs"/>
          <w:b/>
          <w:bCs/>
          <w:rtl/>
        </w:rPr>
        <w:t xml:space="preserve">ספר אור </w:t>
      </w:r>
      <w:r w:rsidRPr="00C07D61">
        <w:rPr>
          <w:rFonts w:hint="cs"/>
          <w:rtl/>
        </w:rPr>
        <w:t xml:space="preserve">933, 1008-1007 (אהרן ברק, רון </w:t>
      </w:r>
      <w:proofErr w:type="spellStart"/>
      <w:r w:rsidRPr="00C07D61">
        <w:rPr>
          <w:rFonts w:hint="cs"/>
          <w:rtl/>
        </w:rPr>
        <w:t>סוקול</w:t>
      </w:r>
      <w:proofErr w:type="spellEnd"/>
      <w:r w:rsidRPr="00C07D61">
        <w:rPr>
          <w:rFonts w:hint="cs"/>
          <w:rtl/>
        </w:rPr>
        <w:t xml:space="preserve"> ועודד שחם עורכים, 2013)). </w:t>
      </w:r>
    </w:p>
  </w:footnote>
  <w:footnote w:id="7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Fonts w:hint="cs"/>
          <w:b/>
          <w:bCs/>
          <w:rtl/>
        </w:rPr>
        <w:t>הפדרליסט</w:t>
      </w:r>
      <w:r w:rsidRPr="00C07D61">
        <w:rPr>
          <w:rFonts w:hint="cs"/>
          <w:rtl/>
        </w:rPr>
        <w:t xml:space="preserve"> מס' 78 (אלכסנדר המילטון), עמ' 390 (תרגום אהרן אמיר, 2001 [1788-1787]) ("במקום שרצון בית-המחוקקים, המוצהר בחוקיו, נמצא מנוגד לרצון העם, כפי שהוא מוצהר בחוקה, חייבים השופטים לנהוג לפי האחרון ולא לפי הראשון"). </w:t>
      </w:r>
    </w:p>
  </w:footnote>
  <w:footnote w:id="72">
    <w:p w:rsidR="009F0DE7" w:rsidRPr="00C07D61" w:rsidRDefault="009F0DE7" w:rsidP="00511BD0">
      <w:pPr>
        <w:pStyle w:val="FootnoteText"/>
        <w:spacing w:afterLines="40"/>
        <w:jc w:val="both"/>
        <w:rPr>
          <w:rtl/>
        </w:rPr>
      </w:pPr>
      <w:r w:rsidRPr="00C07D61">
        <w:rPr>
          <w:rStyle w:val="FootnoteReference"/>
        </w:rPr>
        <w:footnoteRef/>
      </w:r>
      <w:r w:rsidRPr="00C07D61">
        <w:rPr>
          <w:rFonts w:hint="cs"/>
          <w:rtl/>
        </w:rPr>
        <w:t xml:space="preserve"> ראו למשל </w:t>
      </w:r>
      <w:r w:rsidRPr="00C07D61">
        <w:t xml:space="preserve">Michael C. </w:t>
      </w:r>
      <w:proofErr w:type="spellStart"/>
      <w:r w:rsidRPr="00C07D61">
        <w:t>Dorf</w:t>
      </w:r>
      <w:proofErr w:type="spellEnd"/>
      <w:r w:rsidRPr="00C07D61">
        <w:t xml:space="preserve"> &amp; Charles F. </w:t>
      </w:r>
      <w:proofErr w:type="spellStart"/>
      <w:r w:rsidRPr="00C07D61">
        <w:t>Sabel</w:t>
      </w:r>
      <w:proofErr w:type="spellEnd"/>
      <w:r w:rsidRPr="00C07D61">
        <w:t xml:space="preserve">, </w:t>
      </w:r>
      <w:proofErr w:type="gramStart"/>
      <w:r w:rsidRPr="00C07D61">
        <w:rPr>
          <w:i/>
          <w:iCs/>
        </w:rPr>
        <w:t>A</w:t>
      </w:r>
      <w:proofErr w:type="gramEnd"/>
      <w:r w:rsidRPr="00C07D61">
        <w:rPr>
          <w:i/>
          <w:iCs/>
        </w:rPr>
        <w:t xml:space="preserve"> Constitution of Democratic Experimentalism</w:t>
      </w:r>
      <w:r w:rsidRPr="00C07D61">
        <w:t xml:space="preserve">, 98 </w:t>
      </w:r>
      <w:r w:rsidRPr="00C07D61">
        <w:rPr>
          <w:smallCaps/>
        </w:rPr>
        <w:t>Colum. L. Rev</w:t>
      </w:r>
      <w:r w:rsidRPr="00C07D61">
        <w:t>. 267 (1998)</w:t>
      </w:r>
      <w:r w:rsidRPr="00C07D61">
        <w:rPr>
          <w:rFonts w:hint="cs"/>
          <w:rtl/>
        </w:rPr>
        <w:t xml:space="preserve">; </w:t>
      </w:r>
      <w:r w:rsidRPr="00C07D61">
        <w:rPr>
          <w:smallCaps/>
        </w:rPr>
        <w:t xml:space="preserve">Roberto </w:t>
      </w:r>
      <w:proofErr w:type="spellStart"/>
      <w:r w:rsidRPr="00C07D61">
        <w:rPr>
          <w:smallCaps/>
        </w:rPr>
        <w:t>Mangabeira</w:t>
      </w:r>
      <w:proofErr w:type="spellEnd"/>
      <w:r w:rsidRPr="00C07D61">
        <w:rPr>
          <w:smallCaps/>
        </w:rPr>
        <w:t xml:space="preserve"> Unger, Democracy Realized: The Progressive Alternative 16-27 (1998)</w:t>
      </w:r>
      <w:r w:rsidRPr="00C07D61">
        <w:rPr>
          <w:rFonts w:hint="cs"/>
          <w:smallCaps/>
          <w:rtl/>
        </w:rPr>
        <w:t xml:space="preserve">; </w:t>
      </w:r>
      <w:r w:rsidRPr="00C07D61">
        <w:t xml:space="preserve">William N. </w:t>
      </w:r>
      <w:proofErr w:type="spellStart"/>
      <w:r w:rsidRPr="00C07D61">
        <w:t>Eskridge</w:t>
      </w:r>
      <w:proofErr w:type="spellEnd"/>
      <w:r w:rsidRPr="00C07D61">
        <w:t xml:space="preserve">, Jr. &amp; John </w:t>
      </w:r>
      <w:proofErr w:type="spellStart"/>
      <w:r w:rsidRPr="00C07D61">
        <w:t>Ferejohn</w:t>
      </w:r>
      <w:proofErr w:type="spellEnd"/>
      <w:r w:rsidRPr="00C07D61">
        <w:t xml:space="preserve">, </w:t>
      </w:r>
      <w:r w:rsidRPr="00C07D61">
        <w:rPr>
          <w:i/>
          <w:iCs/>
        </w:rPr>
        <w:t>Constitutional Horticulture: Deliberation-Respecting Judicial Review</w:t>
      </w:r>
      <w:r w:rsidRPr="00C07D61">
        <w:t xml:space="preserve">, 87 </w:t>
      </w:r>
      <w:r w:rsidRPr="00C07D61">
        <w:rPr>
          <w:smallCaps/>
        </w:rPr>
        <w:t>Tex. L. Rev</w:t>
      </w:r>
      <w:r w:rsidRPr="00C07D61">
        <w:t>.</w:t>
      </w:r>
      <w:r w:rsidRPr="00C07D61">
        <w:rPr>
          <w:smallCaps/>
        </w:rPr>
        <w:t xml:space="preserve"> 1273 (2009)</w:t>
      </w:r>
      <w:r w:rsidRPr="00C07D61">
        <w:rPr>
          <w:rFonts w:hint="cs"/>
          <w:smallCaps/>
          <w:rtl/>
        </w:rPr>
        <w:t xml:space="preserve">. </w:t>
      </w:r>
    </w:p>
  </w:footnote>
  <w:footnote w:id="7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smallCaps/>
        </w:rPr>
        <w:t>Walter F. Murphy, Constitutional Democracy: Creating and Maintaining a Just Political Order</w:t>
      </w:r>
      <w:r w:rsidRPr="00C07D61">
        <w:t xml:space="preserve"> 345-47 (2007)</w:t>
      </w:r>
      <w:r w:rsidRPr="00C07D61">
        <w:rPr>
          <w:rFonts w:hint="cs"/>
          <w:rtl/>
        </w:rPr>
        <w:t>.</w:t>
      </w:r>
    </w:p>
  </w:footnote>
  <w:footnote w:id="7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 xml:space="preserve">Frank </w:t>
      </w:r>
      <w:proofErr w:type="spellStart"/>
      <w:r w:rsidRPr="00C07D61">
        <w:t>Michelman</w:t>
      </w:r>
      <w:proofErr w:type="spellEnd"/>
      <w:r w:rsidRPr="00C07D61">
        <w:t xml:space="preserve">, </w:t>
      </w:r>
      <w:r w:rsidRPr="00C07D61">
        <w:rPr>
          <w:i/>
          <w:iCs/>
        </w:rPr>
        <w:t>Law’s Republic</w:t>
      </w:r>
      <w:r w:rsidRPr="00C07D61">
        <w:t xml:space="preserve">, 97 </w:t>
      </w:r>
      <w:r w:rsidRPr="00C07D61">
        <w:rPr>
          <w:smallCaps/>
        </w:rPr>
        <w:t>Yale</w:t>
      </w:r>
      <w:r w:rsidRPr="00C07D61">
        <w:t xml:space="preserve"> L.J. 1493 (1988)</w:t>
      </w:r>
      <w:r w:rsidRPr="00C07D61">
        <w:rPr>
          <w:rFonts w:hint="cs"/>
          <w:rtl/>
        </w:rPr>
        <w:t xml:space="preserve">. </w:t>
      </w:r>
    </w:p>
  </w:footnote>
  <w:footnote w:id="7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t>Eskridge</w:t>
      </w:r>
      <w:proofErr w:type="spellEnd"/>
      <w:r w:rsidRPr="00C07D61">
        <w:t xml:space="preserve"> &amp; </w:t>
      </w:r>
      <w:proofErr w:type="spellStart"/>
      <w:r w:rsidRPr="00C07D61">
        <w:t>Ferejohn</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042 \h  \* MERGEFORMAT ">
        <w:r w:rsidR="00DE2615">
          <w:t>71</w:t>
        </w:r>
      </w:fldSimple>
      <w:r w:rsidRPr="00C07D61">
        <w:rPr>
          <w:rFonts w:hint="cs"/>
          <w:rtl/>
        </w:rPr>
        <w:t xml:space="preserve">, </w:t>
      </w:r>
      <w:proofErr w:type="spellStart"/>
      <w:r w:rsidRPr="00C07D61">
        <w:rPr>
          <w:rFonts w:hint="cs"/>
          <w:rtl/>
        </w:rPr>
        <w:t>בעמ</w:t>
      </w:r>
      <w:proofErr w:type="spellEnd"/>
      <w:r w:rsidRPr="00C07D61">
        <w:rPr>
          <w:rFonts w:hint="cs"/>
          <w:rtl/>
        </w:rPr>
        <w:t>' 1286-1283.</w:t>
      </w:r>
    </w:p>
  </w:footnote>
  <w:footnote w:id="7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r w:rsidRPr="00C07D61">
        <w:rPr>
          <w:smallCaps/>
        </w:rPr>
        <w:t>Amy</w:t>
      </w:r>
      <w:r w:rsidRPr="00C07D61">
        <w:t xml:space="preserve"> </w:t>
      </w:r>
      <w:proofErr w:type="spellStart"/>
      <w:r w:rsidRPr="00C07D61">
        <w:rPr>
          <w:smallCaps/>
        </w:rPr>
        <w:t>Gutmann</w:t>
      </w:r>
      <w:proofErr w:type="spellEnd"/>
      <w:r w:rsidRPr="00C07D61">
        <w:t xml:space="preserve"> &amp; </w:t>
      </w:r>
      <w:r w:rsidRPr="00C07D61">
        <w:rPr>
          <w:smallCaps/>
        </w:rPr>
        <w:t>Dennis</w:t>
      </w:r>
      <w:r w:rsidRPr="00C07D61">
        <w:t xml:space="preserve"> </w:t>
      </w:r>
      <w:r w:rsidRPr="00C07D61">
        <w:rPr>
          <w:smallCaps/>
        </w:rPr>
        <w:t>Thompson</w:t>
      </w:r>
      <w:r w:rsidRPr="00C07D61">
        <w:t xml:space="preserve">, </w:t>
      </w:r>
      <w:r w:rsidRPr="00C07D61">
        <w:rPr>
          <w:smallCaps/>
        </w:rPr>
        <w:t>Why Deliberative Democracy</w:t>
      </w:r>
      <w:r w:rsidRPr="00C07D61">
        <w:t xml:space="preserve">? </w:t>
      </w:r>
      <w:proofErr w:type="gramStart"/>
      <w:r w:rsidRPr="00C07D61">
        <w:t>13-29 (2004)</w:t>
      </w:r>
      <w:r w:rsidRPr="00C07D61">
        <w:rPr>
          <w:rFonts w:hint="cs"/>
          <w:rtl/>
        </w:rPr>
        <w:t>.</w:t>
      </w:r>
      <w:proofErr w:type="gramEnd"/>
    </w:p>
  </w:footnote>
  <w:footnote w:id="7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rPr>
          <w:smallCaps/>
        </w:rPr>
        <w:t>Jürgen</w:t>
      </w:r>
      <w:proofErr w:type="spellEnd"/>
      <w:r w:rsidRPr="00C07D61">
        <w:rPr>
          <w:smallCaps/>
        </w:rPr>
        <w:t xml:space="preserve"> </w:t>
      </w:r>
      <w:proofErr w:type="spellStart"/>
      <w:r w:rsidRPr="00C07D61">
        <w:rPr>
          <w:smallCaps/>
        </w:rPr>
        <w:t>Habermas</w:t>
      </w:r>
      <w:proofErr w:type="spellEnd"/>
      <w:r w:rsidRPr="00C07D61">
        <w:rPr>
          <w:smallCaps/>
        </w:rPr>
        <w:t>, Between Facts and Norms</w:t>
      </w:r>
      <w:r w:rsidRPr="00C07D61">
        <w:t xml:space="preserve"> 287-328 (William </w:t>
      </w:r>
      <w:proofErr w:type="spellStart"/>
      <w:r w:rsidRPr="00C07D61">
        <w:t>Rehg</w:t>
      </w:r>
      <w:proofErr w:type="spellEnd"/>
      <w:r w:rsidRPr="00C07D61">
        <w:t xml:space="preserve"> trans. 1996)</w:t>
      </w:r>
      <w:r w:rsidRPr="00C07D61">
        <w:rPr>
          <w:rFonts w:hint="cs"/>
          <w:rtl/>
        </w:rPr>
        <w:t>.</w:t>
      </w:r>
    </w:p>
  </w:footnote>
  <w:footnote w:id="7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 xml:space="preserve">Bruce Ackerman &amp; James S. </w:t>
      </w:r>
      <w:proofErr w:type="spellStart"/>
      <w:r w:rsidRPr="00C07D61">
        <w:t>Fishkin</w:t>
      </w:r>
      <w:proofErr w:type="spellEnd"/>
      <w:r w:rsidRPr="00C07D61">
        <w:t xml:space="preserve">, </w:t>
      </w:r>
      <w:r w:rsidRPr="00C07D61">
        <w:rPr>
          <w:i/>
        </w:rPr>
        <w:t>Deliberation Day</w:t>
      </w:r>
      <w:r w:rsidRPr="00C07D61">
        <w:t xml:space="preserve">, in </w:t>
      </w:r>
      <w:r w:rsidRPr="00C07D61">
        <w:rPr>
          <w:smallCaps/>
        </w:rPr>
        <w:t>Debating Deliberative Democracy</w:t>
      </w:r>
      <w:r w:rsidRPr="00C07D61">
        <w:t xml:space="preserve"> 7-30 (James S. </w:t>
      </w:r>
      <w:proofErr w:type="spellStart"/>
      <w:r w:rsidRPr="00C07D61">
        <w:t>Fishkin</w:t>
      </w:r>
      <w:proofErr w:type="spellEnd"/>
      <w:r w:rsidRPr="00C07D61">
        <w:t xml:space="preserve"> and Peter </w:t>
      </w:r>
      <w:proofErr w:type="spellStart"/>
      <w:r w:rsidRPr="00C07D61">
        <w:t>Laslett</w:t>
      </w:r>
      <w:proofErr w:type="spellEnd"/>
      <w:r w:rsidRPr="00C07D61">
        <w:t>, eds., 2003)</w:t>
      </w:r>
      <w:r w:rsidRPr="00C07D61">
        <w:rPr>
          <w:rFonts w:hint="cs"/>
          <w:rtl/>
        </w:rPr>
        <w:t xml:space="preserve">. </w:t>
      </w:r>
    </w:p>
  </w:footnote>
  <w:footnote w:id="7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smallCaps/>
        </w:rPr>
        <w:t xml:space="preserve">Christopher F. </w:t>
      </w:r>
      <w:proofErr w:type="spellStart"/>
      <w:r w:rsidRPr="00C07D61">
        <w:rPr>
          <w:smallCaps/>
        </w:rPr>
        <w:t>Zurn</w:t>
      </w:r>
      <w:proofErr w:type="spellEnd"/>
      <w:r w:rsidRPr="00C07D61">
        <w:rPr>
          <w:smallCaps/>
        </w:rPr>
        <w:t>, Deliberative Democracy and the Institutions of Judicial Review</w:t>
      </w:r>
      <w:r w:rsidRPr="00C07D61">
        <w:t xml:space="preserve"> 163-184 (2007); John </w:t>
      </w:r>
      <w:proofErr w:type="spellStart"/>
      <w:r w:rsidRPr="00C07D61">
        <w:t>Ferejohn</w:t>
      </w:r>
      <w:proofErr w:type="spellEnd"/>
      <w:r w:rsidRPr="00C07D61">
        <w:t xml:space="preserve"> &amp; Pasqual </w:t>
      </w:r>
      <w:proofErr w:type="spellStart"/>
      <w:r w:rsidRPr="00C07D61">
        <w:t>Pasquino</w:t>
      </w:r>
      <w:proofErr w:type="spellEnd"/>
      <w:r w:rsidRPr="00C07D61">
        <w:rPr>
          <w:i/>
          <w:iCs/>
        </w:rPr>
        <w:t>, Constitutional Courts as Deliberative Institutions: Towards an Institutional Theory of Constitutional Justice</w:t>
      </w:r>
      <w:r w:rsidRPr="00C07D61">
        <w:t xml:space="preserve">, in </w:t>
      </w:r>
      <w:r w:rsidRPr="00C07D61">
        <w:rPr>
          <w:smallCaps/>
        </w:rPr>
        <w:t>Constitutional Justice, East and West</w:t>
      </w:r>
      <w:r w:rsidRPr="00C07D61">
        <w:t xml:space="preserve"> 21-36 (</w:t>
      </w:r>
      <w:proofErr w:type="spellStart"/>
      <w:r w:rsidRPr="00C07D61">
        <w:t>Wojciech</w:t>
      </w:r>
      <w:proofErr w:type="spellEnd"/>
      <w:r w:rsidRPr="00C07D61">
        <w:t xml:space="preserve"> </w:t>
      </w:r>
      <w:proofErr w:type="spellStart"/>
      <w:r w:rsidRPr="00C07D61">
        <w:t>Sadurski</w:t>
      </w:r>
      <w:proofErr w:type="spellEnd"/>
      <w:r w:rsidRPr="00C07D61">
        <w:t xml:space="preserve"> ed., 2002)</w:t>
      </w:r>
      <w:r w:rsidRPr="00C07D61">
        <w:rPr>
          <w:rFonts w:hint="cs"/>
          <w:rtl/>
        </w:rPr>
        <w:t>.</w:t>
      </w:r>
    </w:p>
  </w:footnote>
  <w:footnote w:id="8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smallCaps/>
        </w:rPr>
        <w:t>John Rawls, Justice as Fairness: A Restatement</w:t>
      </w:r>
      <w:r w:rsidRPr="00C07D61">
        <w:t xml:space="preserve"> 32-38 (2003)</w:t>
      </w:r>
      <w:r w:rsidRPr="00C07D61">
        <w:rPr>
          <w:rFonts w:hint="cs"/>
          <w:rtl/>
        </w:rPr>
        <w:t>.</w:t>
      </w:r>
    </w:p>
  </w:footnote>
  <w:footnote w:id="8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t xml:space="preserve">William A. </w:t>
      </w:r>
      <w:proofErr w:type="spellStart"/>
      <w:proofErr w:type="gramStart"/>
      <w:r w:rsidRPr="00C07D61">
        <w:t>Galston</w:t>
      </w:r>
      <w:proofErr w:type="spellEnd"/>
      <w:r w:rsidRPr="00C07D61">
        <w:t xml:space="preserve">, </w:t>
      </w:r>
      <w:r w:rsidRPr="00C07D61">
        <w:rPr>
          <w:i/>
          <w:iCs/>
        </w:rPr>
        <w:t>Two Concepts of Liberalism</w:t>
      </w:r>
      <w:r w:rsidRPr="00C07D61">
        <w:t xml:space="preserve">, 105 </w:t>
      </w:r>
      <w:r w:rsidRPr="00C07D61">
        <w:rPr>
          <w:smallCaps/>
        </w:rPr>
        <w:t>Ethics</w:t>
      </w:r>
      <w:r w:rsidRPr="00C07D61">
        <w:t xml:space="preserve"> 516, 523-25 (1995)</w:t>
      </w:r>
      <w:r w:rsidRPr="00C07D61">
        <w:rPr>
          <w:rFonts w:hint="cs"/>
          <w:rtl/>
        </w:rPr>
        <w:t>.</w:t>
      </w:r>
      <w:proofErr w:type="gramEnd"/>
    </w:p>
  </w:footnote>
  <w:footnote w:id="82">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 xml:space="preserve">כמה מן הטקסטים היסודיים הם </w:t>
      </w:r>
      <w:r w:rsidRPr="00C07D61">
        <w:rPr>
          <w:smallCaps/>
        </w:rPr>
        <w:t xml:space="preserve">Mark </w:t>
      </w:r>
      <w:proofErr w:type="spellStart"/>
      <w:r w:rsidRPr="00C07D61">
        <w:rPr>
          <w:smallCaps/>
        </w:rPr>
        <w:t>Tushnet</w:t>
      </w:r>
      <w:proofErr w:type="spellEnd"/>
      <w:r w:rsidRPr="00C07D61">
        <w:rPr>
          <w:smallCaps/>
        </w:rPr>
        <w:t>, Taking the Constitution Away from the Courts</w:t>
      </w:r>
      <w:r w:rsidRPr="00C07D61">
        <w:t xml:space="preserve"> (1999)</w:t>
      </w:r>
      <w:r w:rsidRPr="00C07D61">
        <w:rPr>
          <w:rFonts w:hint="cs"/>
          <w:rtl/>
        </w:rPr>
        <w:t xml:space="preserve">; </w:t>
      </w:r>
      <w:r w:rsidRPr="00C07D61">
        <w:rPr>
          <w:smallCaps/>
        </w:rPr>
        <w:t>Larry D. Kramer, The People Themselves: Popular Constitutionalism and Judicial Review</w:t>
      </w:r>
      <w:r w:rsidRPr="00C07D61">
        <w:t xml:space="preserve"> (2004)</w:t>
      </w:r>
      <w:r w:rsidRPr="00C07D61">
        <w:rPr>
          <w:rFonts w:hint="cs"/>
          <w:rtl/>
        </w:rPr>
        <w:t xml:space="preserve">; </w:t>
      </w:r>
      <w:r w:rsidRPr="00C07D61">
        <w:t>Larry D. Kramer, Po</w:t>
      </w:r>
      <w:r w:rsidRPr="00C07D61">
        <w:rPr>
          <w:i/>
          <w:iCs/>
        </w:rPr>
        <w:t>pular Constitutionalism, circa 2004</w:t>
      </w:r>
      <w:r w:rsidRPr="00C07D61">
        <w:t xml:space="preserve">, 92 </w:t>
      </w:r>
      <w:r w:rsidRPr="00C07D61">
        <w:rPr>
          <w:smallCaps/>
        </w:rPr>
        <w:t>Cal. L. Rev.</w:t>
      </w:r>
      <w:r w:rsidRPr="00C07D61">
        <w:t xml:space="preserve"> 959 (2004)</w:t>
      </w:r>
      <w:r w:rsidRPr="00C07D61">
        <w:rPr>
          <w:rFonts w:hint="cs"/>
          <w:rtl/>
        </w:rPr>
        <w:t xml:space="preserve">; </w:t>
      </w:r>
      <w:r w:rsidRPr="00C07D61">
        <w:t xml:space="preserve">Robert Post &amp; Reva Siegel, </w:t>
      </w:r>
      <w:r w:rsidRPr="00C07D61">
        <w:rPr>
          <w:i/>
          <w:iCs/>
        </w:rPr>
        <w:t>Popular Constitutionalism, Departmentalism, and Judicial Supremacy</w:t>
      </w:r>
      <w:r w:rsidRPr="00C07D61">
        <w:t xml:space="preserve">, 92 </w:t>
      </w:r>
      <w:r w:rsidRPr="00C07D61">
        <w:rPr>
          <w:smallCaps/>
        </w:rPr>
        <w:t>Cal. L. Rev</w:t>
      </w:r>
      <w:r w:rsidRPr="00C07D61">
        <w:t>. 1027 (2004)</w:t>
      </w:r>
      <w:r w:rsidRPr="00C07D61">
        <w:rPr>
          <w:rFonts w:hint="cs"/>
          <w:rtl/>
        </w:rPr>
        <w:t xml:space="preserve">; </w:t>
      </w:r>
      <w:r w:rsidRPr="00C07D61">
        <w:t xml:space="preserve">Mark </w:t>
      </w:r>
      <w:proofErr w:type="spellStart"/>
      <w:r w:rsidRPr="00C07D61">
        <w:t>Tushnet</w:t>
      </w:r>
      <w:proofErr w:type="spellEnd"/>
      <w:r w:rsidRPr="00C07D61">
        <w:t xml:space="preserve">, </w:t>
      </w:r>
      <w:r w:rsidRPr="00C07D61">
        <w:rPr>
          <w:i/>
          <w:iCs/>
        </w:rPr>
        <w:t>Popular Constitutionalism as Political Law</w:t>
      </w:r>
      <w:r w:rsidRPr="00C07D61">
        <w:t xml:space="preserve">, 81 </w:t>
      </w:r>
      <w:r w:rsidRPr="00C07D61">
        <w:rPr>
          <w:smallCaps/>
        </w:rPr>
        <w:t>Chi.-Kent L. Rev</w:t>
      </w:r>
      <w:r w:rsidRPr="00C07D61">
        <w:t>. 991 (2006)</w:t>
      </w:r>
      <w:r w:rsidRPr="00C07D61">
        <w:rPr>
          <w:rFonts w:hint="cs"/>
          <w:rtl/>
        </w:rPr>
        <w:t>.</w:t>
      </w:r>
    </w:p>
  </w:footnote>
  <w:footnote w:id="8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 xml:space="preserve">Elizabeth Garrett &amp; Adrian </w:t>
      </w:r>
      <w:proofErr w:type="spellStart"/>
      <w:r w:rsidRPr="00C07D61">
        <w:t>Vermeule</w:t>
      </w:r>
      <w:proofErr w:type="spellEnd"/>
      <w:r w:rsidRPr="00C07D61">
        <w:rPr>
          <w:i/>
          <w:iCs/>
        </w:rPr>
        <w:t xml:space="preserve">, Institutional Design of a </w:t>
      </w:r>
      <w:proofErr w:type="spellStart"/>
      <w:r w:rsidRPr="00C07D61">
        <w:rPr>
          <w:i/>
          <w:iCs/>
        </w:rPr>
        <w:t>Thayerian</w:t>
      </w:r>
      <w:proofErr w:type="spellEnd"/>
      <w:r w:rsidRPr="00C07D61">
        <w:rPr>
          <w:i/>
          <w:iCs/>
        </w:rPr>
        <w:t xml:space="preserve"> Congress</w:t>
      </w:r>
      <w:r w:rsidRPr="00C07D61">
        <w:t xml:space="preserve">, 50 </w:t>
      </w:r>
      <w:r w:rsidRPr="00C07D61">
        <w:rPr>
          <w:smallCaps/>
        </w:rPr>
        <w:t>Duke L.</w:t>
      </w:r>
      <w:r w:rsidRPr="00C07D61">
        <w:t>J. 1277 (2001)</w:t>
      </w:r>
      <w:r w:rsidRPr="00C07D61">
        <w:rPr>
          <w:rFonts w:hint="cs"/>
          <w:rtl/>
        </w:rPr>
        <w:t xml:space="preserve">; </w:t>
      </w:r>
      <w:r w:rsidRPr="00C07D61">
        <w:t xml:space="preserve">Mark </w:t>
      </w:r>
      <w:proofErr w:type="spellStart"/>
      <w:r w:rsidRPr="00C07D61">
        <w:t>Tushnet</w:t>
      </w:r>
      <w:proofErr w:type="spellEnd"/>
      <w:r w:rsidRPr="00C07D61">
        <w:t xml:space="preserve">, </w:t>
      </w:r>
      <w:r w:rsidRPr="00C07D61">
        <w:rPr>
          <w:i/>
          <w:iCs/>
        </w:rPr>
        <w:t>Some Notes on Congressional Capacity to Interpret the Constitution</w:t>
      </w:r>
      <w:r w:rsidRPr="00C07D61">
        <w:t xml:space="preserve">, 89 B.U.L. </w:t>
      </w:r>
      <w:r w:rsidRPr="00C07D61">
        <w:rPr>
          <w:smallCaps/>
        </w:rPr>
        <w:t>Rev.</w:t>
      </w:r>
      <w:r w:rsidRPr="00C07D61">
        <w:t xml:space="preserve"> </w:t>
      </w:r>
      <w:proofErr w:type="gramStart"/>
      <w:r w:rsidRPr="00C07D61">
        <w:t>499 (2009)</w:t>
      </w:r>
      <w:r w:rsidRPr="00C07D61">
        <w:rPr>
          <w:rFonts w:hint="cs"/>
          <w:rtl/>
        </w:rPr>
        <w:t>.</w:t>
      </w:r>
      <w:proofErr w:type="gramEnd"/>
      <w:r w:rsidRPr="00C07D61">
        <w:rPr>
          <w:rFonts w:hint="cs"/>
          <w:rtl/>
        </w:rPr>
        <w:t xml:space="preserve"> </w:t>
      </w:r>
    </w:p>
  </w:footnote>
  <w:footnote w:id="8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t xml:space="preserve">Larry D. Kramer, </w:t>
      </w:r>
      <w:r w:rsidRPr="00C07D61">
        <w:rPr>
          <w:smallCaps/>
        </w:rPr>
        <w:t>The People Themselves: Popular Constitutionalism and Judicial Review</w:t>
      </w:r>
      <w:r w:rsidRPr="00C07D61">
        <w:t xml:space="preserve"> (2004)</w:t>
      </w:r>
      <w:r w:rsidRPr="00C07D61">
        <w:rPr>
          <w:rFonts w:hint="cs"/>
          <w:rtl/>
        </w:rPr>
        <w:t xml:space="preserve">. </w:t>
      </w:r>
    </w:p>
  </w:footnote>
  <w:footnote w:id="8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smallCaps/>
        </w:rPr>
        <w:t>Barry Friedman, The Will of the People</w:t>
      </w:r>
      <w:r w:rsidRPr="00C07D61">
        <w:t xml:space="preserve"> (2009)</w:t>
      </w:r>
      <w:r w:rsidRPr="00C07D61">
        <w:rPr>
          <w:rFonts w:hint="cs"/>
          <w:rtl/>
        </w:rPr>
        <w:t xml:space="preserve">. </w:t>
      </w:r>
    </w:p>
  </w:footnote>
  <w:footnote w:id="8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Robert Post and Reva Siegel, Roe</w:t>
      </w:r>
      <w:r w:rsidRPr="00C07D61">
        <w:rPr>
          <w:i/>
          <w:iCs/>
        </w:rPr>
        <w:t xml:space="preserve"> Rage: Democratic Constitutionalism and Backlash</w:t>
      </w:r>
      <w:r w:rsidRPr="00C07D61">
        <w:t xml:space="preserve">, 42 </w:t>
      </w:r>
      <w:proofErr w:type="spellStart"/>
      <w:r w:rsidRPr="00C07D61">
        <w:rPr>
          <w:smallCaps/>
        </w:rPr>
        <w:t>Harv</w:t>
      </w:r>
      <w:proofErr w:type="spellEnd"/>
      <w:r w:rsidRPr="00C07D61">
        <w:rPr>
          <w:smallCaps/>
        </w:rPr>
        <w:t>. C.R.-C.L. L. Rev.</w:t>
      </w:r>
      <w:r w:rsidRPr="00C07D61">
        <w:t xml:space="preserve"> 373 (2007)</w:t>
      </w:r>
      <w:r w:rsidRPr="00C07D61">
        <w:rPr>
          <w:rFonts w:hint="cs"/>
          <w:rtl/>
        </w:rPr>
        <w:t>;</w:t>
      </w:r>
      <w:r w:rsidRPr="00C07D61">
        <w:t xml:space="preserve"> Reva B. Siegel, </w:t>
      </w:r>
      <w:r w:rsidRPr="00C07D61">
        <w:rPr>
          <w:i/>
          <w:iCs/>
        </w:rPr>
        <w:t xml:space="preserve">Dead or Alive: </w:t>
      </w:r>
      <w:proofErr w:type="spellStart"/>
      <w:r w:rsidRPr="00C07D61">
        <w:rPr>
          <w:i/>
          <w:iCs/>
        </w:rPr>
        <w:t>Originalism</w:t>
      </w:r>
      <w:proofErr w:type="spellEnd"/>
      <w:r w:rsidRPr="00C07D61">
        <w:rPr>
          <w:i/>
          <w:iCs/>
        </w:rPr>
        <w:t xml:space="preserve"> as Popular Constitutionalism in</w:t>
      </w:r>
      <w:r w:rsidRPr="00C07D61">
        <w:t xml:space="preserve"> Heller, 122 </w:t>
      </w:r>
      <w:proofErr w:type="spellStart"/>
      <w:r w:rsidRPr="00C07D61">
        <w:rPr>
          <w:smallCaps/>
        </w:rPr>
        <w:t>Harv</w:t>
      </w:r>
      <w:proofErr w:type="spellEnd"/>
      <w:r w:rsidRPr="00C07D61">
        <w:rPr>
          <w:smallCaps/>
        </w:rPr>
        <w:t>. L. Rev.</w:t>
      </w:r>
      <w:r w:rsidRPr="00C07D61">
        <w:t xml:space="preserve"> 191 (2008)</w:t>
      </w:r>
      <w:r w:rsidRPr="00C07D61">
        <w:rPr>
          <w:rFonts w:hint="cs"/>
          <w:rtl/>
        </w:rPr>
        <w:t xml:space="preserve">. </w:t>
      </w:r>
    </w:p>
  </w:footnote>
  <w:footnote w:id="87">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t xml:space="preserve">Jack M. </w:t>
      </w:r>
      <w:proofErr w:type="spellStart"/>
      <w:proofErr w:type="gramStart"/>
      <w:r w:rsidRPr="00C07D61">
        <w:t>Balkin</w:t>
      </w:r>
      <w:proofErr w:type="spellEnd"/>
      <w:r w:rsidRPr="00C07D61">
        <w:t xml:space="preserve"> &amp; Sanford Levinson, </w:t>
      </w:r>
      <w:r w:rsidRPr="00C07D61">
        <w:rPr>
          <w:i/>
          <w:iCs/>
        </w:rPr>
        <w:t>Understanding the Constitutional Revolution</w:t>
      </w:r>
      <w:r w:rsidRPr="00C07D61">
        <w:t xml:space="preserve">, 87 </w:t>
      </w:r>
      <w:r w:rsidRPr="00C07D61">
        <w:rPr>
          <w:smallCaps/>
        </w:rPr>
        <w:t>Va.</w:t>
      </w:r>
      <w:proofErr w:type="gramEnd"/>
      <w:r w:rsidRPr="00C07D61">
        <w:rPr>
          <w:smallCaps/>
        </w:rPr>
        <w:t xml:space="preserve"> L. Rev</w:t>
      </w:r>
      <w:r w:rsidRPr="00C07D61">
        <w:t>. 1045 (2001)</w:t>
      </w:r>
      <w:r w:rsidRPr="00C07D61">
        <w:rPr>
          <w:rFonts w:hint="cs"/>
          <w:rtl/>
        </w:rPr>
        <w:t xml:space="preserve">; </w:t>
      </w:r>
      <w:r w:rsidRPr="00C07D61">
        <w:t xml:space="preserve">David E. </w:t>
      </w:r>
      <w:proofErr w:type="spellStart"/>
      <w:r w:rsidRPr="00C07D61">
        <w:t>Pozen</w:t>
      </w:r>
      <w:proofErr w:type="spellEnd"/>
      <w:r w:rsidRPr="00C07D61">
        <w:t xml:space="preserve">, </w:t>
      </w:r>
      <w:r w:rsidRPr="00C07D61">
        <w:rPr>
          <w:i/>
          <w:iCs/>
        </w:rPr>
        <w:t>Judicial Elections as Popular Constitutionalism</w:t>
      </w:r>
      <w:r w:rsidRPr="00C07D61">
        <w:t xml:space="preserve">, 110 </w:t>
      </w:r>
      <w:r w:rsidRPr="00C07D61">
        <w:rPr>
          <w:smallCaps/>
        </w:rPr>
        <w:t>Colum. L. Rev</w:t>
      </w:r>
      <w:r w:rsidRPr="00C07D61">
        <w:t>. 2047 (2010)</w:t>
      </w:r>
      <w:r w:rsidRPr="00C07D61">
        <w:rPr>
          <w:rFonts w:hint="cs"/>
          <w:rtl/>
        </w:rPr>
        <w:t>.</w:t>
      </w:r>
    </w:p>
  </w:footnote>
  <w:footnote w:id="88">
    <w:p w:rsidR="009F0DE7" w:rsidRPr="00C07D61" w:rsidRDefault="009F0DE7" w:rsidP="00511BD0">
      <w:pPr>
        <w:pStyle w:val="FootnoteText"/>
        <w:spacing w:afterLines="40"/>
        <w:jc w:val="both"/>
        <w:rPr>
          <w:rtl/>
        </w:rPr>
      </w:pPr>
      <w:r w:rsidRPr="00C07D61">
        <w:rPr>
          <w:rStyle w:val="FootnoteReference"/>
        </w:rPr>
        <w:footnoteRef/>
      </w:r>
      <w:r w:rsidRPr="00C07D61">
        <w:rPr>
          <w:rFonts w:hint="cs"/>
          <w:rtl/>
        </w:rPr>
        <w:t xml:space="preserve"> ראו </w:t>
      </w:r>
      <w:r w:rsidRPr="00C07D61">
        <w:t xml:space="preserve">Ori Aronson, </w:t>
      </w:r>
      <w:proofErr w:type="spellStart"/>
      <w:r w:rsidRPr="00C07D61">
        <w:rPr>
          <w:i/>
          <w:iCs/>
        </w:rPr>
        <w:t>Inferiorizing</w:t>
      </w:r>
      <w:proofErr w:type="spellEnd"/>
      <w:r w:rsidRPr="00C07D61">
        <w:rPr>
          <w:i/>
          <w:iCs/>
        </w:rPr>
        <w:t xml:space="preserve"> Judicial Review: Popular Constitutionalism in Trial Courts</w:t>
      </w:r>
      <w:r w:rsidRPr="00C07D61">
        <w:t xml:space="preserve">, 43 </w:t>
      </w:r>
      <w:r w:rsidRPr="00C07D61">
        <w:rPr>
          <w:smallCaps/>
        </w:rPr>
        <w:t>U. Mich. J.L. Reform</w:t>
      </w:r>
      <w:r w:rsidRPr="00C07D61">
        <w:t xml:space="preserve"> 971 (2010)</w:t>
      </w:r>
      <w:r w:rsidRPr="00C07D61">
        <w:rPr>
          <w:rFonts w:hint="cs"/>
          <w:rtl/>
        </w:rPr>
        <w:t xml:space="preserve">; </w:t>
      </w:r>
      <w:proofErr w:type="spellStart"/>
      <w:r w:rsidRPr="00C07D61">
        <w:t>Doni</w:t>
      </w:r>
      <w:proofErr w:type="spellEnd"/>
      <w:r w:rsidRPr="00C07D61">
        <w:t xml:space="preserve"> </w:t>
      </w:r>
      <w:proofErr w:type="spellStart"/>
      <w:r w:rsidRPr="00C07D61">
        <w:t>Gewirtzman</w:t>
      </w:r>
      <w:proofErr w:type="spellEnd"/>
      <w:r w:rsidRPr="00C07D61">
        <w:t xml:space="preserve">, </w:t>
      </w:r>
      <w:r w:rsidRPr="00C07D61">
        <w:rPr>
          <w:i/>
          <w:iCs/>
        </w:rPr>
        <w:t>Lower Court Constitutionalism: Circuit Court Discretion in a Complex Adaptive System</w:t>
      </w:r>
      <w:r w:rsidRPr="00C07D61">
        <w:t xml:space="preserve">, 61 </w:t>
      </w:r>
      <w:proofErr w:type="gramStart"/>
      <w:r w:rsidRPr="00C07D61">
        <w:rPr>
          <w:smallCaps/>
        </w:rPr>
        <w:t>Am</w:t>
      </w:r>
      <w:proofErr w:type="gramEnd"/>
      <w:r w:rsidRPr="00C07D61">
        <w:rPr>
          <w:smallCaps/>
        </w:rPr>
        <w:t xml:space="preserve">. </w:t>
      </w:r>
      <w:proofErr w:type="gramStart"/>
      <w:r w:rsidRPr="00C07D61">
        <w:rPr>
          <w:smallCaps/>
        </w:rPr>
        <w:t>U.L. Rev</w:t>
      </w:r>
      <w:r w:rsidRPr="00C07D61">
        <w:t>. 457 (2012)</w:t>
      </w:r>
      <w:r w:rsidRPr="00C07D61">
        <w:rPr>
          <w:rFonts w:hint="cs"/>
          <w:rtl/>
        </w:rPr>
        <w:t xml:space="preserve">; </w:t>
      </w:r>
      <w:r w:rsidRPr="00C07D61">
        <w:t xml:space="preserve">Katie </w:t>
      </w:r>
      <w:proofErr w:type="spellStart"/>
      <w:r w:rsidRPr="00C07D61">
        <w:t>Eyer</w:t>
      </w:r>
      <w:proofErr w:type="spellEnd"/>
      <w:r w:rsidRPr="00C07D61">
        <w:t xml:space="preserve">, </w:t>
      </w:r>
      <w:r w:rsidRPr="00C07D61">
        <w:rPr>
          <w:i/>
          <w:iCs/>
        </w:rPr>
        <w:t>Lower Court Popular Constitutionalism</w:t>
      </w:r>
      <w:r w:rsidRPr="00C07D61">
        <w:t xml:space="preserve">, 123 </w:t>
      </w:r>
      <w:r w:rsidRPr="00C07D61">
        <w:rPr>
          <w:smallCaps/>
        </w:rPr>
        <w:t>Yale L.J. Online</w:t>
      </w:r>
      <w:r w:rsidRPr="00C07D61">
        <w:t xml:space="preserve"> 197 (2013)</w:t>
      </w:r>
      <w:r w:rsidRPr="00C07D61">
        <w:rPr>
          <w:rFonts w:hint="cs"/>
          <w:rtl/>
        </w:rPr>
        <w:t>.</w:t>
      </w:r>
      <w:proofErr w:type="gramEnd"/>
    </w:p>
  </w:footnote>
  <w:footnote w:id="8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והשוו </w:t>
      </w:r>
      <w:r w:rsidRPr="00C07D61">
        <w:rPr>
          <w:smallCaps/>
        </w:rPr>
        <w:t xml:space="preserve">Owen </w:t>
      </w:r>
      <w:proofErr w:type="spellStart"/>
      <w:r w:rsidRPr="00C07D61">
        <w:rPr>
          <w:smallCaps/>
        </w:rPr>
        <w:t>Fiss</w:t>
      </w:r>
      <w:proofErr w:type="spellEnd"/>
      <w:r w:rsidRPr="00C07D61">
        <w:rPr>
          <w:smallCaps/>
        </w:rPr>
        <w:t xml:space="preserve">, The Law as It Could </w:t>
      </w:r>
      <w:r w:rsidRPr="00C07D61">
        <w:rPr>
          <w:rFonts w:hint="cs"/>
          <w:smallCaps/>
        </w:rPr>
        <w:t>B</w:t>
      </w:r>
      <w:r w:rsidRPr="00C07D61">
        <w:rPr>
          <w:smallCaps/>
        </w:rPr>
        <w:t>e</w:t>
      </w:r>
      <w:r w:rsidRPr="00C07D61">
        <w:t xml:space="preserve"> 48-58 (2003)</w:t>
      </w:r>
      <w:r w:rsidRPr="00C07D61">
        <w:rPr>
          <w:rFonts w:hint="cs"/>
          <w:rtl/>
        </w:rPr>
        <w:t xml:space="preserve">; </w:t>
      </w:r>
      <w:r w:rsidRPr="00C07D61">
        <w:t xml:space="preserve">Susan S. </w:t>
      </w:r>
      <w:proofErr w:type="spellStart"/>
      <w:proofErr w:type="gramStart"/>
      <w:r w:rsidRPr="00C07D61">
        <w:t>Silbey</w:t>
      </w:r>
      <w:proofErr w:type="spellEnd"/>
      <w:r w:rsidRPr="00C07D61">
        <w:t xml:space="preserve">, </w:t>
      </w:r>
      <w:r w:rsidRPr="00C07D61">
        <w:rPr>
          <w:i/>
          <w:iCs/>
        </w:rPr>
        <w:t>Making Sense of the Lower Courts</w:t>
      </w:r>
      <w:r w:rsidRPr="00C07D61">
        <w:t xml:space="preserve">, 6 </w:t>
      </w:r>
      <w:r w:rsidRPr="00C07D61">
        <w:rPr>
          <w:smallCaps/>
        </w:rPr>
        <w:t>Just.</w:t>
      </w:r>
      <w:proofErr w:type="gramEnd"/>
      <w:r w:rsidRPr="00C07D61">
        <w:rPr>
          <w:smallCaps/>
        </w:rPr>
        <w:t xml:space="preserve"> </w:t>
      </w:r>
      <w:proofErr w:type="gramStart"/>
      <w:r w:rsidRPr="00C07D61">
        <w:rPr>
          <w:smallCaps/>
        </w:rPr>
        <w:t>Sys.</w:t>
      </w:r>
      <w:proofErr w:type="gramEnd"/>
      <w:r w:rsidRPr="00C07D61">
        <w:rPr>
          <w:smallCaps/>
        </w:rPr>
        <w:t xml:space="preserve"> J.</w:t>
      </w:r>
      <w:r w:rsidRPr="00C07D61">
        <w:t xml:space="preserve"> 13 (1981)</w:t>
      </w:r>
      <w:r w:rsidRPr="00C07D61">
        <w:rPr>
          <w:rFonts w:hint="cs"/>
          <w:rtl/>
        </w:rPr>
        <w:t xml:space="preserve">. </w:t>
      </w:r>
    </w:p>
  </w:footnote>
  <w:footnote w:id="9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יפעת הולצמן-גזית "בין המשפט, האישיות והמבנה המוסדי: פיתוחם של דיני הפקעת מקרקעין בפסיקתם של בית-המשפט המחוזיים" </w:t>
      </w:r>
      <w:r w:rsidRPr="00C07D61">
        <w:rPr>
          <w:rFonts w:hint="cs"/>
          <w:b/>
          <w:bCs/>
          <w:rtl/>
        </w:rPr>
        <w:t>עיוני משפט</w:t>
      </w:r>
      <w:r w:rsidRPr="00C07D61">
        <w:rPr>
          <w:rFonts w:hint="cs"/>
          <w:rtl/>
        </w:rPr>
        <w:t xml:space="preserve"> </w:t>
      </w:r>
      <w:proofErr w:type="spellStart"/>
      <w:r w:rsidRPr="00C07D61">
        <w:rPr>
          <w:rFonts w:hint="cs"/>
          <w:rtl/>
        </w:rPr>
        <w:t>כט</w:t>
      </w:r>
      <w:proofErr w:type="spellEnd"/>
      <w:r w:rsidRPr="00C07D61">
        <w:rPr>
          <w:rFonts w:hint="cs"/>
          <w:rtl/>
        </w:rPr>
        <w:t xml:space="preserve"> 311, 373-349 (2006). </w:t>
      </w:r>
    </w:p>
  </w:footnote>
  <w:footnote w:id="91">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לדוגמה את תהליך התפתחותה הנמשכת של עילת התביעה בנזיקין בגין סרבנות גט: זהו חידוש נורמטיבי שמקורו בבתי המשפט לענייני משפחה, ואשר רק בשלב מאוחר יחסית </w:t>
      </w:r>
      <w:r w:rsidRPr="00C07D61">
        <w:rPr>
          <w:rtl/>
        </w:rPr>
        <w:t>–</w:t>
      </w:r>
      <w:r w:rsidRPr="00C07D61">
        <w:rPr>
          <w:rFonts w:hint="cs"/>
          <w:rtl/>
        </w:rPr>
        <w:t xml:space="preserve"> לאחר שערכאות שונות התייחסו אליו באופן שונה ובחנו את האפשרויות הגלומות בו </w:t>
      </w:r>
      <w:r w:rsidRPr="00C07D61">
        <w:rPr>
          <w:rtl/>
        </w:rPr>
        <w:t>–</w:t>
      </w:r>
      <w:r w:rsidRPr="00C07D61">
        <w:rPr>
          <w:rFonts w:hint="cs"/>
          <w:rtl/>
        </w:rPr>
        <w:t xml:space="preserve"> החל להופיע גם בהתייחסויות ראשוניות של בית המשפט העליון. לסקירה ראו ענת ליפשיץ "עוולה בגין סרבנות גט והיפוך הפירמידה המוסדית" (טיוטה 2011) (עותק בידי הכותב); בנימין שמואלי "הדור הבא של תביעות נזיקין בגין סרבנות גט כדי להשיג את הגט </w:t>
      </w:r>
      <w:proofErr w:type="spellStart"/>
      <w:r w:rsidRPr="00C07D61">
        <w:rPr>
          <w:rFonts w:hint="cs"/>
          <w:rtl/>
        </w:rPr>
        <w:t>ו'כלל</w:t>
      </w:r>
      <w:proofErr w:type="spellEnd"/>
      <w:r w:rsidRPr="00C07D61">
        <w:rPr>
          <w:rFonts w:hint="cs"/>
          <w:rtl/>
        </w:rPr>
        <w:t xml:space="preserve"> האחריות' של </w:t>
      </w:r>
      <w:proofErr w:type="spellStart"/>
      <w:r w:rsidRPr="00C07D61">
        <w:rPr>
          <w:rFonts w:hint="cs"/>
          <w:rtl/>
        </w:rPr>
        <w:t>קלברזי</w:t>
      </w:r>
      <w:proofErr w:type="spellEnd"/>
      <w:r w:rsidRPr="00C07D61">
        <w:rPr>
          <w:rFonts w:hint="cs"/>
          <w:rtl/>
        </w:rPr>
        <w:t xml:space="preserve"> ומלמד" </w:t>
      </w:r>
      <w:r w:rsidRPr="00C07D61">
        <w:rPr>
          <w:rFonts w:hint="cs"/>
          <w:b/>
          <w:bCs/>
          <w:rtl/>
        </w:rPr>
        <w:t>משפטים</w:t>
      </w:r>
      <w:r w:rsidRPr="00C07D61">
        <w:rPr>
          <w:rFonts w:hint="cs"/>
          <w:rtl/>
        </w:rPr>
        <w:t xml:space="preserve"> </w:t>
      </w:r>
      <w:proofErr w:type="spellStart"/>
      <w:r w:rsidRPr="00C07D61">
        <w:rPr>
          <w:rFonts w:hint="cs"/>
          <w:rtl/>
        </w:rPr>
        <w:t>מא</w:t>
      </w:r>
      <w:proofErr w:type="spellEnd"/>
      <w:r w:rsidRPr="00C07D61">
        <w:rPr>
          <w:rFonts w:hint="cs"/>
          <w:rtl/>
        </w:rPr>
        <w:t xml:space="preserve"> 153, 158 (תשע"א).</w:t>
      </w:r>
    </w:p>
  </w:footnote>
  <w:footnote w:id="9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t xml:space="preserve">Walter F. Murphy, </w:t>
      </w:r>
      <w:r w:rsidRPr="00C07D61">
        <w:rPr>
          <w:i/>
          <w:iCs/>
        </w:rPr>
        <w:t>Lower Court Checks on Supreme Court Power</w:t>
      </w:r>
      <w:r w:rsidRPr="00C07D61">
        <w:t xml:space="preserve">, 53 </w:t>
      </w:r>
      <w:proofErr w:type="gramStart"/>
      <w:r w:rsidRPr="00C07D61">
        <w:rPr>
          <w:smallCaps/>
        </w:rPr>
        <w:t>Am</w:t>
      </w:r>
      <w:proofErr w:type="gramEnd"/>
      <w:r w:rsidRPr="00C07D61">
        <w:rPr>
          <w:smallCaps/>
        </w:rPr>
        <w:t xml:space="preserve">. </w:t>
      </w:r>
      <w:proofErr w:type="gramStart"/>
      <w:r w:rsidRPr="00C07D61">
        <w:rPr>
          <w:smallCaps/>
        </w:rPr>
        <w:t>Pol. Sci. Rev.</w:t>
      </w:r>
      <w:r w:rsidRPr="00C07D61">
        <w:t xml:space="preserve"> 1017 (1959); Pauline T. Kim, </w:t>
      </w:r>
      <w:r w:rsidRPr="00C07D61">
        <w:rPr>
          <w:i/>
          <w:iCs/>
        </w:rPr>
        <w:t>Lower Court Discretion</w:t>
      </w:r>
      <w:r w:rsidRPr="00C07D61">
        <w:t xml:space="preserve">, 82 N.Y.U.L. </w:t>
      </w:r>
      <w:r w:rsidRPr="00C07D61">
        <w:rPr>
          <w:smallCaps/>
        </w:rPr>
        <w:t>Rev</w:t>
      </w:r>
      <w:r w:rsidRPr="00C07D61">
        <w:t>. 383, 408-26 (2007)</w:t>
      </w:r>
      <w:r w:rsidRPr="00C07D61">
        <w:rPr>
          <w:rFonts w:hint="cs"/>
          <w:rtl/>
        </w:rPr>
        <w:t>.</w:t>
      </w:r>
      <w:proofErr w:type="gramEnd"/>
      <w:r w:rsidRPr="00C07D61">
        <w:rPr>
          <w:rFonts w:hint="cs"/>
          <w:rtl/>
        </w:rPr>
        <w:t xml:space="preserve"> לדיון מקביל בהקשרים היררכיים נוספים ראו </w:t>
      </w:r>
      <w:r w:rsidRPr="00C07D61">
        <w:t xml:space="preserve">Adam Shinar, </w:t>
      </w:r>
      <w:r w:rsidRPr="00C07D61">
        <w:rPr>
          <w:i/>
          <w:iCs/>
        </w:rPr>
        <w:t>Dissenting from Within: Why and How Public Officials Resist the Law</w:t>
      </w:r>
      <w:r w:rsidRPr="00C07D61">
        <w:t xml:space="preserve">, 40 </w:t>
      </w:r>
      <w:r w:rsidRPr="00C07D61">
        <w:rPr>
          <w:smallCaps/>
        </w:rPr>
        <w:t xml:space="preserve">Fla. </w:t>
      </w:r>
      <w:proofErr w:type="gramStart"/>
      <w:r w:rsidRPr="00C07D61">
        <w:rPr>
          <w:smallCaps/>
        </w:rPr>
        <w:t>St. U.L. Rev</w:t>
      </w:r>
      <w:r w:rsidRPr="00C07D61">
        <w:t>. 601, 630-46 (2013)</w:t>
      </w:r>
      <w:r w:rsidRPr="00C07D61">
        <w:rPr>
          <w:rFonts w:hint="cs"/>
          <w:rtl/>
        </w:rPr>
        <w:t>.</w:t>
      </w:r>
      <w:proofErr w:type="gramEnd"/>
      <w:r w:rsidRPr="00C07D61">
        <w:rPr>
          <w:rFonts w:hint="cs"/>
          <w:rtl/>
        </w:rPr>
        <w:t xml:space="preserve"> </w:t>
      </w:r>
    </w:p>
  </w:footnote>
  <w:footnote w:id="9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רע"א 3749/12 </w:t>
      </w:r>
      <w:r w:rsidRPr="00C07D61">
        <w:rPr>
          <w:rFonts w:hint="cs"/>
          <w:b/>
          <w:bCs/>
          <w:rtl/>
        </w:rPr>
        <w:t>בר-עוז נ' סטר</w:t>
      </w:r>
      <w:r w:rsidRPr="00C07D61">
        <w:rPr>
          <w:rFonts w:hint="cs"/>
          <w:rtl/>
        </w:rPr>
        <w:t xml:space="preserve"> (פורסם בנבו, 1.8.2013), פסקה 20 לפסק הדין של הנשיא </w:t>
      </w:r>
      <w:proofErr w:type="spellStart"/>
      <w:r w:rsidRPr="00C07D61">
        <w:rPr>
          <w:rFonts w:hint="cs"/>
          <w:rtl/>
        </w:rPr>
        <w:t>גרוניס</w:t>
      </w:r>
      <w:proofErr w:type="spellEnd"/>
      <w:r w:rsidRPr="00C07D61">
        <w:rPr>
          <w:rFonts w:hint="cs"/>
          <w:rtl/>
        </w:rPr>
        <w:t xml:space="preserve">.  </w:t>
      </w:r>
    </w:p>
  </w:footnote>
  <w:footnote w:id="94">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השוו אלון הראל "הזכות לביקורת שיפוטית" </w:t>
      </w:r>
      <w:r w:rsidRPr="00C07D61">
        <w:rPr>
          <w:rFonts w:hint="cs"/>
          <w:b/>
          <w:bCs/>
          <w:rtl/>
        </w:rPr>
        <w:t>משפטים</w:t>
      </w:r>
      <w:r w:rsidRPr="00C07D61">
        <w:rPr>
          <w:rFonts w:hint="cs"/>
          <w:rtl/>
        </w:rPr>
        <w:t xml:space="preserve"> מ 239 (תשע"א). </w:t>
      </w:r>
    </w:p>
  </w:footnote>
  <w:footnote w:id="9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r w:rsidRPr="00C07D61">
        <w:rPr>
          <w:rFonts w:hint="cs"/>
          <w:b/>
          <w:bCs/>
          <w:rtl/>
        </w:rPr>
        <w:t>ספיר</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913 \h  \* MERGEFORMAT ">
        <w:r w:rsidR="00DE2615">
          <w:t>59</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147-146. </w:t>
      </w:r>
    </w:p>
  </w:footnote>
  <w:footnote w:id="9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rPr>
          <w:smallCaps/>
        </w:rPr>
        <w:t>Comella</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1900 \h  \* MERGEFORMAT ">
        <w:r w:rsidR="00DE2615">
          <w:t>5</w:t>
        </w:r>
      </w:fldSimple>
      <w:r w:rsidRPr="00C07D61">
        <w:rPr>
          <w:rFonts w:hint="cs"/>
          <w:rtl/>
        </w:rPr>
        <w:t xml:space="preserve">, </w:t>
      </w:r>
      <w:proofErr w:type="spellStart"/>
      <w:r w:rsidRPr="00C07D61">
        <w:rPr>
          <w:rFonts w:hint="cs"/>
          <w:rtl/>
        </w:rPr>
        <w:t>בעמ</w:t>
      </w:r>
      <w:proofErr w:type="spellEnd"/>
      <w:r w:rsidRPr="00C07D61">
        <w:rPr>
          <w:rFonts w:hint="cs"/>
          <w:rtl/>
        </w:rPr>
        <w:t>' 113-112.</w:t>
      </w:r>
    </w:p>
  </w:footnote>
  <w:footnote w:id="9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דברי השופט חשין בע"א </w:t>
      </w:r>
      <w:r w:rsidRPr="00C07D61">
        <w:rPr>
          <w:rFonts w:hint="cs"/>
          <w:b/>
          <w:bCs/>
          <w:rtl/>
        </w:rPr>
        <w:t>בנק המזרחי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47 \h  \* MERGEFORMAT ">
        <w:r w:rsidR="00DE2615">
          <w:t>9</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474. </w:t>
      </w:r>
    </w:p>
  </w:footnote>
  <w:footnote w:id="98">
    <w:p w:rsidR="009F0DE7" w:rsidRPr="00C07D61" w:rsidRDefault="009F0DE7" w:rsidP="00511BD0">
      <w:pPr>
        <w:pStyle w:val="FootnoteText"/>
        <w:spacing w:after="40"/>
        <w:jc w:val="both"/>
      </w:pPr>
      <w:r w:rsidRPr="00C07D61">
        <w:rPr>
          <w:rStyle w:val="FootnoteReference"/>
        </w:rPr>
        <w:footnoteRef/>
      </w:r>
      <w:r w:rsidRPr="00C07D61">
        <w:rPr>
          <w:rtl/>
        </w:rPr>
        <w:t xml:space="preserve"> </w:t>
      </w:r>
      <w:r w:rsidRPr="00C07D61">
        <w:rPr>
          <w:rFonts w:hint="cs"/>
          <w:rtl/>
        </w:rPr>
        <w:t xml:space="preserve">אך ראו </w:t>
      </w:r>
      <w:r w:rsidRPr="00C07D61">
        <w:t xml:space="preserve">Adam Shinar, </w:t>
      </w:r>
      <w:r w:rsidRPr="00C07D61">
        <w:rPr>
          <w:i/>
          <w:iCs/>
        </w:rPr>
        <w:t>Accidental Constitutionalism: The Political Foundations and Implications of Constitution -Making in Israel</w:t>
      </w:r>
      <w:r w:rsidRPr="00C07D61">
        <w:t xml:space="preserve">, in </w:t>
      </w:r>
      <w:r w:rsidRPr="00C07D61">
        <w:rPr>
          <w:smallCaps/>
        </w:rPr>
        <w:t>The Social and Political Foundations of Constitutions</w:t>
      </w:r>
      <w:r w:rsidRPr="00C07D61">
        <w:t xml:space="preserve"> 207 (Denis </w:t>
      </w:r>
      <w:proofErr w:type="spellStart"/>
      <w:r w:rsidRPr="00C07D61">
        <w:t>Galligan</w:t>
      </w:r>
      <w:proofErr w:type="spellEnd"/>
      <w:r w:rsidRPr="00C07D61">
        <w:t xml:space="preserve"> &amp; Mila </w:t>
      </w:r>
      <w:proofErr w:type="spellStart"/>
      <w:r w:rsidRPr="00C07D61">
        <w:t>Versteeg</w:t>
      </w:r>
      <w:proofErr w:type="spellEnd"/>
      <w:r w:rsidRPr="00C07D61">
        <w:t xml:space="preserve"> eds., </w:t>
      </w:r>
      <w:proofErr w:type="gramStart"/>
      <w:r w:rsidRPr="00C07D61">
        <w:t>2013)</w:t>
      </w:r>
      <w:r w:rsidRPr="00C07D61">
        <w:rPr>
          <w:rFonts w:hint="cs"/>
          <w:rtl/>
        </w:rPr>
        <w:t xml:space="preserve"> (מטיל ספק, לאור הניסיון הישראלי, בקיומה של זיקה סיבתית בין אופן היווצרותו של משטר חוקתי לבין </w:t>
      </w:r>
      <w:r w:rsidR="00F10543" w:rsidRPr="00C07D61">
        <w:rPr>
          <w:rFonts w:hint="cs"/>
          <w:rtl/>
        </w:rPr>
        <w:t>עוצמתו ויציבות, משנוצר).</w:t>
      </w:r>
      <w:proofErr w:type="gramEnd"/>
      <w:r w:rsidR="00F10543" w:rsidRPr="00C07D61">
        <w:rPr>
          <w:rFonts w:hint="cs"/>
          <w:rtl/>
        </w:rPr>
        <w:t xml:space="preserve"> </w:t>
      </w:r>
    </w:p>
  </w:footnote>
  <w:footnote w:id="9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rtl/>
        </w:rPr>
        <w:t>אמנון רובינשטיין</w:t>
      </w:r>
      <w:r w:rsidRPr="00C07D61">
        <w:rPr>
          <w:rFonts w:hint="cs"/>
          <w:rtl/>
        </w:rPr>
        <w:t xml:space="preserve"> ו</w:t>
      </w:r>
      <w:r w:rsidRPr="00C07D61">
        <w:rPr>
          <w:rtl/>
        </w:rPr>
        <w:t xml:space="preserve">ברק מדינה </w:t>
      </w:r>
      <w:r w:rsidRPr="00C07D61">
        <w:rPr>
          <w:rFonts w:hint="cs"/>
          <w:rtl/>
        </w:rPr>
        <w:t>"</w:t>
      </w:r>
      <w:r w:rsidRPr="00C07D61">
        <w:rPr>
          <w:rtl/>
        </w:rPr>
        <w:t>החוקה של מדינת ישראל</w:t>
      </w:r>
      <w:r w:rsidRPr="00C07D61">
        <w:rPr>
          <w:rFonts w:hint="cs"/>
          <w:rtl/>
        </w:rPr>
        <w:t xml:space="preserve">" </w:t>
      </w:r>
      <w:r w:rsidRPr="00C07D61">
        <w:rPr>
          <w:b/>
          <w:bCs/>
          <w:rtl/>
        </w:rPr>
        <w:t>המשפט</w:t>
      </w:r>
      <w:r w:rsidRPr="00C07D61">
        <w:rPr>
          <w:rtl/>
        </w:rPr>
        <w:t xml:space="preserve"> ח </w:t>
      </w:r>
      <w:r w:rsidRPr="00C07D61">
        <w:rPr>
          <w:rFonts w:hint="cs"/>
          <w:rtl/>
        </w:rPr>
        <w:t xml:space="preserve">291 </w:t>
      </w:r>
      <w:r w:rsidRPr="00C07D61">
        <w:rPr>
          <w:rtl/>
        </w:rPr>
        <w:t>(תשס"ג)</w:t>
      </w:r>
      <w:r w:rsidRPr="00C07D61">
        <w:rPr>
          <w:rFonts w:hint="cs"/>
          <w:rtl/>
        </w:rPr>
        <w:t>.</w:t>
      </w:r>
    </w:p>
  </w:footnote>
  <w:footnote w:id="10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לעיל </w:t>
      </w:r>
      <w:proofErr w:type="spellStart"/>
      <w:r w:rsidRPr="00C07D61">
        <w:rPr>
          <w:rFonts w:hint="cs"/>
          <w:rtl/>
        </w:rPr>
        <w:t>ה"ש</w:t>
      </w:r>
      <w:proofErr w:type="spellEnd"/>
      <w:r w:rsidRPr="00C07D61">
        <w:rPr>
          <w:rFonts w:hint="cs"/>
          <w:rtl/>
        </w:rPr>
        <w:t xml:space="preserve"> </w:t>
      </w:r>
      <w:fldSimple w:instr=" NOTEREF _Ref365889964 \h  \* MERGEFORMAT ">
        <w:r w:rsidR="00DE2615">
          <w:t>64</w:t>
        </w:r>
      </w:fldSimple>
      <w:r w:rsidRPr="00C07D61">
        <w:rPr>
          <w:rFonts w:hint="cs"/>
          <w:rtl/>
        </w:rPr>
        <w:t>-</w:t>
      </w:r>
      <w:fldSimple w:instr=" NOTEREF _Ref365889970 \h  \* MERGEFORMAT ">
        <w:r w:rsidR="00DE2615">
          <w:t>66</w:t>
        </w:r>
      </w:fldSimple>
      <w:r w:rsidRPr="00C07D61">
        <w:rPr>
          <w:rFonts w:hint="cs"/>
          <w:rtl/>
        </w:rPr>
        <w:t xml:space="preserve"> והטקסט לידן.</w:t>
      </w:r>
    </w:p>
  </w:footnote>
  <w:footnote w:id="101">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מנחם </w:t>
      </w:r>
      <w:proofErr w:type="spellStart"/>
      <w:r w:rsidRPr="00C07D61">
        <w:rPr>
          <w:rFonts w:hint="cs"/>
          <w:rtl/>
        </w:rPr>
        <w:t>מאוטנר</w:t>
      </w:r>
      <w:proofErr w:type="spellEnd"/>
      <w:r w:rsidRPr="00C07D61">
        <w:rPr>
          <w:rFonts w:hint="cs"/>
          <w:rtl/>
        </w:rPr>
        <w:t xml:space="preserve"> </w:t>
      </w:r>
      <w:r w:rsidRPr="00C07D61">
        <w:rPr>
          <w:rFonts w:hint="cs"/>
          <w:b/>
          <w:bCs/>
          <w:rtl/>
        </w:rPr>
        <w:t>משפט ותרבות בישראל בפתח המאה העשרים ואחת</w:t>
      </w:r>
      <w:r w:rsidRPr="00C07D61">
        <w:rPr>
          <w:rFonts w:hint="cs"/>
          <w:rtl/>
        </w:rPr>
        <w:t xml:space="preserve"> </w:t>
      </w:r>
      <w:r w:rsidR="00806ECB">
        <w:rPr>
          <w:rFonts w:hint="cs"/>
          <w:rtl/>
        </w:rPr>
        <w:t>277-275</w:t>
      </w:r>
      <w:r w:rsidRPr="00C07D61">
        <w:rPr>
          <w:rFonts w:hint="cs"/>
          <w:rtl/>
        </w:rPr>
        <w:t xml:space="preserve"> (2008). </w:t>
      </w:r>
      <w:r w:rsidRPr="00C07D61">
        <w:rPr>
          <w:rFonts w:hint="cs"/>
          <w:sz w:val="24"/>
          <w:rtl/>
        </w:rPr>
        <w:t xml:space="preserve">במונחיה של יעל תמיר, ישראל מאופיינת ב"רב-תרבותיות עבה": </w:t>
      </w:r>
      <w:r w:rsidRPr="00C07D61">
        <w:rPr>
          <w:rtl/>
        </w:rPr>
        <w:t>י</w:t>
      </w:r>
      <w:r w:rsidRPr="00C07D61">
        <w:rPr>
          <w:rFonts w:hint="cs"/>
          <w:rtl/>
        </w:rPr>
        <w:t>על</w:t>
      </w:r>
      <w:r w:rsidRPr="00C07D61">
        <w:rPr>
          <w:rtl/>
        </w:rPr>
        <w:t xml:space="preserve"> תמיר ״שני מושגים של רב־תרבותיות״ </w:t>
      </w:r>
      <w:r w:rsidRPr="00C07D61">
        <w:rPr>
          <w:b/>
          <w:bCs/>
          <w:rtl/>
        </w:rPr>
        <w:t>רב־תרבותיות במדינה דמוקרטית</w:t>
      </w:r>
      <w:r w:rsidRPr="00C07D61">
        <w:rPr>
          <w:rFonts w:hint="cs"/>
          <w:b/>
          <w:bCs/>
          <w:rtl/>
        </w:rPr>
        <w:t xml:space="preserve"> </w:t>
      </w:r>
      <w:r w:rsidRPr="00C07D61">
        <w:rPr>
          <w:b/>
          <w:bCs/>
          <w:rtl/>
        </w:rPr>
        <w:t>ויהודית</w:t>
      </w:r>
      <w:r w:rsidRPr="00C07D61">
        <w:rPr>
          <w:rFonts w:hint="cs"/>
          <w:rtl/>
        </w:rPr>
        <w:t xml:space="preserve"> 79, </w:t>
      </w:r>
      <w:r w:rsidR="002A33A9">
        <w:rPr>
          <w:rFonts w:hint="cs"/>
          <w:rtl/>
        </w:rPr>
        <w:t>91-85</w:t>
      </w:r>
      <w:r w:rsidRPr="00C07D61">
        <w:rPr>
          <w:rFonts w:hint="cs"/>
          <w:rtl/>
        </w:rPr>
        <w:t xml:space="preserve"> (</w:t>
      </w:r>
      <w:r w:rsidRPr="00C07D61">
        <w:rPr>
          <w:rtl/>
        </w:rPr>
        <w:t>מ</w:t>
      </w:r>
      <w:r w:rsidRPr="00C07D61">
        <w:rPr>
          <w:rFonts w:hint="cs"/>
          <w:rtl/>
        </w:rPr>
        <w:t>נחם</w:t>
      </w:r>
      <w:r w:rsidRPr="00C07D61">
        <w:rPr>
          <w:rtl/>
        </w:rPr>
        <w:t xml:space="preserve"> </w:t>
      </w:r>
      <w:proofErr w:type="spellStart"/>
      <w:r w:rsidRPr="00C07D61">
        <w:rPr>
          <w:rtl/>
        </w:rPr>
        <w:t>מאוטנר</w:t>
      </w:r>
      <w:proofErr w:type="spellEnd"/>
      <w:r w:rsidRPr="00C07D61">
        <w:rPr>
          <w:rtl/>
        </w:rPr>
        <w:t>, א</w:t>
      </w:r>
      <w:r w:rsidRPr="00C07D61">
        <w:rPr>
          <w:rFonts w:hint="cs"/>
          <w:rtl/>
        </w:rPr>
        <w:t xml:space="preserve">בי </w:t>
      </w:r>
      <w:r w:rsidRPr="00C07D61">
        <w:rPr>
          <w:rtl/>
        </w:rPr>
        <w:t>שגיא ור</w:t>
      </w:r>
      <w:r w:rsidRPr="00C07D61">
        <w:rPr>
          <w:rFonts w:hint="cs"/>
          <w:rtl/>
        </w:rPr>
        <w:t>ונן</w:t>
      </w:r>
      <w:r w:rsidRPr="00C07D61">
        <w:rPr>
          <w:rtl/>
        </w:rPr>
        <w:t xml:space="preserve"> שמיר עורכים, </w:t>
      </w:r>
      <w:proofErr w:type="spellStart"/>
      <w:r w:rsidRPr="00C07D61">
        <w:rPr>
          <w:rtl/>
        </w:rPr>
        <w:t>תשנ״ח</w:t>
      </w:r>
      <w:proofErr w:type="spellEnd"/>
      <w:r w:rsidRPr="00C07D61">
        <w:rPr>
          <w:rtl/>
        </w:rPr>
        <w:t>)</w:t>
      </w:r>
      <w:r w:rsidRPr="00C07D61">
        <w:rPr>
          <w:rFonts w:hint="cs"/>
          <w:rtl/>
        </w:rPr>
        <w:t xml:space="preserve">; ראו </w:t>
      </w:r>
      <w:r w:rsidR="00806ECB">
        <w:rPr>
          <w:rFonts w:hint="cs"/>
          <w:rtl/>
        </w:rPr>
        <w:t xml:space="preserve">גם </w:t>
      </w:r>
      <w:r w:rsidRPr="00C07D61">
        <w:rPr>
          <w:rFonts w:hint="cs"/>
          <w:rtl/>
        </w:rPr>
        <w:t xml:space="preserve">סופר </w:t>
      </w:r>
      <w:proofErr w:type="spellStart"/>
      <w:r w:rsidRPr="00C07D61">
        <w:rPr>
          <w:rFonts w:hint="cs"/>
          <w:rtl/>
        </w:rPr>
        <w:t>ופיסמן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018 \h  \* MERGEFORMAT ">
        <w:r w:rsidR="00DE2615">
          <w:t>50</w:t>
        </w:r>
      </w:fldSimple>
      <w:r w:rsidRPr="00C07D61">
        <w:rPr>
          <w:rFonts w:hint="cs"/>
          <w:rtl/>
        </w:rPr>
        <w:t xml:space="preserve">, </w:t>
      </w:r>
      <w:proofErr w:type="spellStart"/>
      <w:r w:rsidRPr="00C07D61">
        <w:rPr>
          <w:rFonts w:hint="cs"/>
          <w:rtl/>
        </w:rPr>
        <w:t>בעמ</w:t>
      </w:r>
      <w:proofErr w:type="spellEnd"/>
      <w:r w:rsidRPr="00C07D61">
        <w:rPr>
          <w:rFonts w:hint="cs"/>
          <w:rtl/>
        </w:rPr>
        <w:t>' 681-680.</w:t>
      </w:r>
    </w:p>
  </w:footnote>
  <w:footnote w:id="102">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proofErr w:type="spellStart"/>
      <w:r w:rsidRPr="00C07D61">
        <w:rPr>
          <w:smallCaps/>
        </w:rPr>
        <w:t>Habermas</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939 \h  \* MERGEFORMAT ">
        <w:r w:rsidR="00DE2615">
          <w:t>76</w:t>
        </w:r>
      </w:fldSimple>
      <w:r w:rsidRPr="00C07D61">
        <w:rPr>
          <w:rFonts w:hint="cs"/>
          <w:rtl/>
        </w:rPr>
        <w:t xml:space="preserve">. </w:t>
      </w:r>
    </w:p>
  </w:footnote>
  <w:footnote w:id="10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t xml:space="preserve">Robert M. Cover, </w:t>
      </w:r>
      <w:r w:rsidRPr="00C07D61">
        <w:rPr>
          <w:i/>
          <w:iCs/>
        </w:rPr>
        <w:t xml:space="preserve">Foreword: </w:t>
      </w:r>
      <w:proofErr w:type="spellStart"/>
      <w:r w:rsidRPr="00C07D61">
        <w:rPr>
          <w:i/>
          <w:iCs/>
        </w:rPr>
        <w:t>Nomos</w:t>
      </w:r>
      <w:proofErr w:type="spellEnd"/>
      <w:r w:rsidRPr="00C07D61">
        <w:rPr>
          <w:i/>
          <w:iCs/>
        </w:rPr>
        <w:t xml:space="preserve"> and Narrative</w:t>
      </w:r>
      <w:r w:rsidRPr="00C07D61">
        <w:t xml:space="preserve">, 97 </w:t>
      </w:r>
      <w:proofErr w:type="spellStart"/>
      <w:r w:rsidRPr="00C07D61">
        <w:rPr>
          <w:smallCaps/>
        </w:rPr>
        <w:t>Harv</w:t>
      </w:r>
      <w:proofErr w:type="spellEnd"/>
      <w:r w:rsidRPr="00C07D61">
        <w:rPr>
          <w:smallCaps/>
        </w:rPr>
        <w:t>. L. Rev</w:t>
      </w:r>
      <w:r w:rsidRPr="00C07D61">
        <w:t xml:space="preserve"> 4, 40 (1983)</w:t>
      </w:r>
      <w:r w:rsidRPr="00C07D61">
        <w:rPr>
          <w:rFonts w:hint="cs"/>
          <w:rtl/>
        </w:rPr>
        <w:t xml:space="preserve">. </w:t>
      </w:r>
    </w:p>
  </w:footnote>
  <w:footnote w:id="10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השוו גדעון ספיר "שלושה מודלים של חוקה" </w:t>
      </w:r>
      <w:r w:rsidRPr="00C07D61">
        <w:rPr>
          <w:rFonts w:hint="cs"/>
          <w:b/>
          <w:bCs/>
          <w:rtl/>
        </w:rPr>
        <w:t>משפטים</w:t>
      </w:r>
      <w:r w:rsidRPr="00C07D61">
        <w:rPr>
          <w:rFonts w:hint="cs"/>
          <w:rtl/>
        </w:rPr>
        <w:t xml:space="preserve"> </w:t>
      </w:r>
      <w:proofErr w:type="spellStart"/>
      <w:r w:rsidRPr="00C07D61">
        <w:rPr>
          <w:rFonts w:hint="cs"/>
          <w:rtl/>
        </w:rPr>
        <w:t>לז</w:t>
      </w:r>
      <w:proofErr w:type="spellEnd"/>
      <w:r w:rsidRPr="00C07D61">
        <w:rPr>
          <w:rFonts w:hint="cs"/>
          <w:rtl/>
        </w:rPr>
        <w:t xml:space="preserve"> 349, 411-393 (תשס"ז) (על החוקה כ"כלל השתק"). </w:t>
      </w:r>
    </w:p>
  </w:footnote>
  <w:footnote w:id="10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r w:rsidRPr="00C07D61">
        <w:rPr>
          <w:smallCaps/>
        </w:rPr>
        <w:t>Lon L. Fuller, The Morality of Law</w:t>
      </w:r>
      <w:r w:rsidRPr="00C07D61">
        <w:t xml:space="preserve"> 46-91 (rev. ed., 1969)</w:t>
      </w:r>
      <w:r w:rsidRPr="00C07D61">
        <w:rPr>
          <w:rFonts w:hint="cs"/>
          <w:rtl/>
        </w:rPr>
        <w:t xml:space="preserve">. </w:t>
      </w:r>
    </w:p>
  </w:footnote>
  <w:footnote w:id="10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רמזים לגישה זו מופיעים בכתיבה מוקדמת של אהרן ברק בנושא: ראו אהרן ברק "יסודותיה של ביקורת שיפוטית על חקיקת הכנסת" בתוך </w:t>
      </w:r>
      <w:r w:rsidRPr="00C07D61">
        <w:rPr>
          <w:rFonts w:hint="cs"/>
          <w:b/>
          <w:bCs/>
          <w:rtl/>
        </w:rPr>
        <w:t>מבחר כתבים כרך א'</w:t>
      </w:r>
      <w:r w:rsidRPr="00C07D61">
        <w:rPr>
          <w:rFonts w:hint="cs"/>
          <w:rtl/>
        </w:rPr>
        <w:t xml:space="preserve"> 309, 316 (חיים ה' כהן ויצחק זמיר עורכים, תש"ס [1976]) (מודל ריכוזי יבטיח כי "השאלה החוקתית תתברר;[ו]כי היא תתברר על-ידי האורגן העליון"). </w:t>
      </w:r>
    </w:p>
  </w:footnote>
  <w:footnote w:id="10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מאז פסק דין בנק המזרחי, ביטל בית המשפט העליון עשרה חוקים במסלול הראשי של הביקורת השיפוטית, המבוסס על פסקת ההגבלה בחוקי-היסוד בדבר זכויות אדם. בחמישה מן המקרים הללו, הגיבה הכנסת במה שניתן לכנות "חקיקה אוכפת בג"ץ" </w:t>
      </w:r>
      <w:r w:rsidRPr="00C07D61">
        <w:rPr>
          <w:rtl/>
        </w:rPr>
        <w:t>–</w:t>
      </w:r>
      <w:r w:rsidRPr="00C07D61">
        <w:rPr>
          <w:rFonts w:hint="cs"/>
          <w:rtl/>
        </w:rPr>
        <w:t xml:space="preserve"> תיקון החוק שנמצא כלא-חוקתי באופן שיהלום את פסיקת בית המשפט. לסקירה ראו אורי אהרונסון "מדוע הכנסת לא ביטלה את חוק-יסוד: כבוד האדם וחירותו? על הסטטוס קוו כקושי אנטי-רובני", </w:t>
      </w:r>
      <w:r w:rsidRPr="00C07D61">
        <w:rPr>
          <w:rFonts w:hint="cs"/>
          <w:b/>
          <w:bCs/>
          <w:rtl/>
        </w:rPr>
        <w:t>עיוני משפט</w:t>
      </w:r>
      <w:r w:rsidRPr="00C07D61">
        <w:rPr>
          <w:rFonts w:hint="cs"/>
          <w:rtl/>
        </w:rPr>
        <w:t xml:space="preserve"> (צפוי להתפרסם, 2013). </w:t>
      </w:r>
    </w:p>
  </w:footnote>
  <w:footnote w:id="10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t xml:space="preserve">Menachem Mautner, </w:t>
      </w:r>
      <w:r w:rsidRPr="00C07D61">
        <w:rPr>
          <w:i/>
          <w:iCs/>
        </w:rPr>
        <w:t>Luck in the Courts</w:t>
      </w:r>
      <w:r w:rsidRPr="00C07D61">
        <w:t xml:space="preserve">, 9 </w:t>
      </w:r>
      <w:r w:rsidRPr="00C07D61">
        <w:rPr>
          <w:smallCaps/>
        </w:rPr>
        <w:t>Theoretical Inq. L.</w:t>
      </w:r>
      <w:r w:rsidRPr="00C07D61">
        <w:t xml:space="preserve"> 217, 222 (2007)</w:t>
      </w:r>
      <w:r w:rsidRPr="00C07D61">
        <w:rPr>
          <w:rFonts w:hint="cs"/>
          <w:rtl/>
        </w:rPr>
        <w:t xml:space="preserve">; </w:t>
      </w:r>
      <w:r w:rsidRPr="00C07D61">
        <w:t xml:space="preserve">Jeremy Waldron, </w:t>
      </w:r>
      <w:r w:rsidRPr="00C07D61">
        <w:rPr>
          <w:i/>
          <w:iCs/>
        </w:rPr>
        <w:t>Lucky in Your Judge</w:t>
      </w:r>
      <w:r w:rsidRPr="00C07D61">
        <w:t xml:space="preserve">, 9 </w:t>
      </w:r>
      <w:r w:rsidRPr="00C07D61">
        <w:rPr>
          <w:smallCaps/>
        </w:rPr>
        <w:t>Theoretical Inq. L.</w:t>
      </w:r>
      <w:r w:rsidRPr="00C07D61">
        <w:t xml:space="preserve"> 185, 209 (2007)</w:t>
      </w:r>
      <w:r w:rsidRPr="00C07D61">
        <w:rPr>
          <w:rFonts w:hint="cs"/>
          <w:rtl/>
        </w:rPr>
        <w:t xml:space="preserve">. </w:t>
      </w:r>
    </w:p>
  </w:footnote>
  <w:footnote w:id="109">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 xml:space="preserve">ראו והשוו </w:t>
      </w:r>
      <w:r w:rsidRPr="00C07D61">
        <w:t xml:space="preserve">Shay Lavie, </w:t>
      </w:r>
      <w:r w:rsidRPr="00C07D61">
        <w:rPr>
          <w:i/>
          <w:iCs/>
        </w:rPr>
        <w:t>Reverse Sampling: Holding Lotteries to Allocate the Proceeds of Small-Claims Class Actions</w:t>
      </w:r>
      <w:r w:rsidRPr="00C07D61">
        <w:t xml:space="preserve">, 79 </w:t>
      </w:r>
      <w:r w:rsidRPr="00C07D61">
        <w:rPr>
          <w:smallCaps/>
        </w:rPr>
        <w:t>Geo. Wash. L. Rev</w:t>
      </w:r>
      <w:r w:rsidRPr="00C07D61">
        <w:t>. 1065, 1079 (2011)</w:t>
      </w:r>
      <w:r w:rsidRPr="00C07D61">
        <w:rPr>
          <w:rFonts w:hint="cs"/>
          <w:rtl/>
        </w:rPr>
        <w:t>.</w:t>
      </w:r>
    </w:p>
  </w:footnote>
  <w:footnote w:id="11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ע"א (י-ם) 3350/02 </w:t>
      </w:r>
      <w:r w:rsidRPr="00C07D61">
        <w:rPr>
          <w:rFonts w:hint="cs"/>
          <w:b/>
          <w:bCs/>
          <w:rtl/>
        </w:rPr>
        <w:t>היועץ המשפטי לממשלה נ' עיריית ירושלים</w:t>
      </w:r>
      <w:r w:rsidRPr="00C07D61">
        <w:rPr>
          <w:rFonts w:hint="cs"/>
          <w:rtl/>
        </w:rPr>
        <w:t xml:space="preserve"> (פורסם בנבו, 14.7.2003). באותו עניין הגיש היועץ המשפטי לממשלה ערעור לבית המשפט המחוזי על ביקורת שיפוטית שביצע משפט השלום בירושלים, בה קבע שרכיבים מרכזיים בפרק טז1 לתקנות סדר הדין האזרחי, התשמ"ד-1984, העוסק בסדר הדין המהיר, אינם חוקתיים (ראו </w:t>
      </w:r>
      <w:r w:rsidRPr="00C07D61">
        <w:rPr>
          <w:rtl/>
        </w:rPr>
        <w:t xml:space="preserve">ת"א (שלום י-ם) 4050/01 </w:t>
      </w:r>
      <w:r w:rsidRPr="00C07D61">
        <w:rPr>
          <w:b/>
          <w:bCs/>
          <w:rtl/>
        </w:rPr>
        <w:t>עיריית ירושלים נ' מחמד</w:t>
      </w:r>
      <w:r w:rsidRPr="00C07D61">
        <w:rPr>
          <w:rtl/>
        </w:rPr>
        <w:t xml:space="preserve"> </w:t>
      </w:r>
      <w:r w:rsidRPr="00C07D61">
        <w:rPr>
          <w:rFonts w:hint="cs"/>
          <w:rtl/>
        </w:rPr>
        <w:t xml:space="preserve">(פורסם בנבו, </w:t>
      </w:r>
      <w:r w:rsidRPr="00C07D61">
        <w:rPr>
          <w:rtl/>
        </w:rPr>
        <w:t>החלטה מיום 16.7.2002</w:t>
      </w:r>
      <w:r w:rsidRPr="00C07D61">
        <w:rPr>
          <w:rFonts w:hint="cs"/>
          <w:rtl/>
        </w:rPr>
        <w:t>). ההליך המקורי בעניין זה היה סכסוך אזרחי ללא מעורבות המדינה. היועץ המשפטי לממשלה התייצב נוכח התעוררות השאלה החוקתית, ומשנקבע שהתקנות אינן חוקתיות, ערער למחוזי. בית המשפט המחוזי, שקיבל את הערעור, ציין גם זאת: "</w:t>
      </w:r>
      <w:r w:rsidRPr="00C07D61">
        <w:rPr>
          <w:rtl/>
        </w:rPr>
        <w:t>לא ייפלא שבנסיבות אלה מצאנו עצמנו ניצבים בערעור בפני צדדים שלאיש מהם, פרט ליועץ המשפטי לממשלה שלא היה צד להליך המקורי והוא צורף לדיון ביוזמת בית המשפט, לא היה עניין בהחלטה</w:t>
      </w:r>
      <w:r w:rsidRPr="00C07D61">
        <w:rPr>
          <w:rFonts w:hint="cs"/>
          <w:rtl/>
        </w:rPr>
        <w:t xml:space="preserve">". על התייצבות המדינה באופן כללי יותר ראו להלן פרק ה(4). </w:t>
      </w:r>
    </w:p>
  </w:footnote>
  <w:footnote w:id="11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המונחים לקוחים מן המודל הקלאסי של מארק </w:t>
      </w:r>
      <w:proofErr w:type="spellStart"/>
      <w:r w:rsidRPr="00C07D61">
        <w:rPr>
          <w:rFonts w:hint="cs"/>
          <w:rtl/>
        </w:rPr>
        <w:t>גאלאנטר</w:t>
      </w:r>
      <w:proofErr w:type="spellEnd"/>
      <w:r w:rsidRPr="00C07D61">
        <w:rPr>
          <w:rFonts w:hint="cs"/>
          <w:rtl/>
        </w:rPr>
        <w:t xml:space="preserve"> "</w:t>
      </w:r>
      <w:r w:rsidRPr="00C07D61">
        <w:rPr>
          <w:rtl/>
        </w:rPr>
        <w:t xml:space="preserve">מדוע </w:t>
      </w:r>
      <w:r w:rsidRPr="00C07D61">
        <w:rPr>
          <w:rFonts w:hint="cs"/>
          <w:rtl/>
        </w:rPr>
        <w:t>'</w:t>
      </w:r>
      <w:r w:rsidRPr="00C07D61">
        <w:rPr>
          <w:rtl/>
        </w:rPr>
        <w:t>אלה שיש להם</w:t>
      </w:r>
      <w:r w:rsidRPr="00C07D61">
        <w:rPr>
          <w:rFonts w:hint="cs"/>
          <w:rtl/>
        </w:rPr>
        <w:t>'</w:t>
      </w:r>
      <w:r w:rsidRPr="00C07D61">
        <w:rPr>
          <w:rtl/>
        </w:rPr>
        <w:t xml:space="preserve"> נוטים להצליח:</w:t>
      </w:r>
      <w:r w:rsidRPr="00C07D61">
        <w:rPr>
          <w:rFonts w:hint="cs"/>
          <w:rtl/>
        </w:rPr>
        <w:t xml:space="preserve"> </w:t>
      </w:r>
      <w:r w:rsidRPr="00C07D61">
        <w:rPr>
          <w:rtl/>
        </w:rPr>
        <w:t>הרהורים על גבולות השינוי המשפטי</w:t>
      </w:r>
      <w:r w:rsidRPr="00C07D61">
        <w:rPr>
          <w:rFonts w:hint="cs"/>
          <w:rtl/>
        </w:rPr>
        <w:t xml:space="preserve">" </w:t>
      </w:r>
      <w:r w:rsidRPr="00C07D61">
        <w:rPr>
          <w:rFonts w:hint="cs"/>
          <w:b/>
          <w:bCs/>
          <w:rtl/>
        </w:rPr>
        <w:t>מעשי משפט</w:t>
      </w:r>
      <w:r w:rsidRPr="00C07D61">
        <w:rPr>
          <w:rFonts w:hint="cs"/>
          <w:rtl/>
        </w:rPr>
        <w:t xml:space="preserve"> ד 15 (תרגום ישי מישורי, 2011). </w:t>
      </w:r>
    </w:p>
  </w:footnote>
  <w:footnote w:id="112">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ראו יהודית קרפ "אי ציות המדינה לפסקי דין של בתי המשפט: בג"ץ ובתי המשפט לעניינים מנהליים", תזכיר שנשלח ליועץ המשפטי לממשלה בפברואר 2010, עמ' 19-16 (</w:t>
      </w:r>
      <w:hyperlink r:id="rId12" w:history="1">
        <w:r w:rsidRPr="00C07D61">
          <w:rPr>
            <w:rStyle w:val="Hyperlink"/>
          </w:rPr>
          <w:t>http://tinyurl.com/o6y7b2y</w:t>
        </w:r>
      </w:hyperlink>
      <w:r w:rsidRPr="00C07D61">
        <w:rPr>
          <w:rFonts w:hint="cs"/>
          <w:rtl/>
        </w:rPr>
        <w:t xml:space="preserve">). </w:t>
      </w:r>
    </w:p>
  </w:footnote>
  <w:footnote w:id="113">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ס' 202 ל</w:t>
      </w:r>
      <w:r w:rsidRPr="00C07D61">
        <w:rPr>
          <w:rtl/>
        </w:rPr>
        <w:t>חוק סדר הדין הפלילי [נוסח משולב], תשמ"ב-1982</w:t>
      </w:r>
      <w:r w:rsidRPr="00C07D61">
        <w:rPr>
          <w:rFonts w:hint="cs"/>
          <w:rtl/>
        </w:rPr>
        <w:t xml:space="preserve">. </w:t>
      </w:r>
    </w:p>
  </w:footnote>
  <w:footnote w:id="11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ס' 27 לחוק תובענות ייצוגיות, תשס"ו-2006. </w:t>
      </w:r>
    </w:p>
  </w:footnote>
  <w:footnote w:id="115">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ס' 20(ב) סיפא לחוק-יסוד: השפיטה. </w:t>
      </w:r>
    </w:p>
  </w:footnote>
  <w:footnote w:id="11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tl/>
        </w:rPr>
        <w:t xml:space="preserve">יורם שחר "לכידות ובין-דוריות בבית המשפט העליון: הפוליטיקה של התקדים" </w:t>
      </w:r>
      <w:r w:rsidRPr="00C07D61">
        <w:rPr>
          <w:b/>
          <w:bCs/>
          <w:rtl/>
        </w:rPr>
        <w:t>מחקרי משפט</w:t>
      </w:r>
      <w:r w:rsidRPr="00C07D61">
        <w:rPr>
          <w:rtl/>
        </w:rPr>
        <w:t xml:space="preserve"> 161 (תשס"א)</w:t>
      </w:r>
      <w:r w:rsidRPr="00C07D61">
        <w:rPr>
          <w:rFonts w:hint="cs"/>
          <w:rtl/>
        </w:rPr>
        <w:t>.</w:t>
      </w:r>
    </w:p>
  </w:footnote>
  <w:footnote w:id="11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גיא זיידמן "מותבים מורחבים בבית המשפט העליון הישראלי" </w:t>
      </w:r>
      <w:r w:rsidRPr="00C07D61">
        <w:rPr>
          <w:rFonts w:hint="cs"/>
          <w:b/>
          <w:bCs/>
          <w:rtl/>
        </w:rPr>
        <w:t>מאזני משפט</w:t>
      </w:r>
      <w:r w:rsidRPr="00C07D61">
        <w:rPr>
          <w:rFonts w:hint="cs"/>
          <w:rtl/>
        </w:rPr>
        <w:t xml:space="preserve"> ג 155, 175-167 (תשס"ה); יצחק הרצוג "על קביעת הרכבים בפרשנות חוקי היסוד" </w:t>
      </w:r>
      <w:proofErr w:type="spellStart"/>
      <w:r w:rsidRPr="00C07D61">
        <w:rPr>
          <w:rFonts w:hint="cs"/>
          <w:b/>
          <w:bCs/>
          <w:rtl/>
        </w:rPr>
        <w:t>קרית</w:t>
      </w:r>
      <w:proofErr w:type="spellEnd"/>
      <w:r w:rsidRPr="00C07D61">
        <w:rPr>
          <w:rFonts w:hint="cs"/>
          <w:b/>
          <w:bCs/>
          <w:rtl/>
        </w:rPr>
        <w:t xml:space="preserve"> המשפט</w:t>
      </w:r>
      <w:r w:rsidRPr="00C07D61">
        <w:rPr>
          <w:rFonts w:hint="cs"/>
          <w:rtl/>
        </w:rPr>
        <w:t xml:space="preserve"> ט 203 (תשע"א); אריאל בנדור וזאב סגל </w:t>
      </w:r>
      <w:r w:rsidRPr="00C07D61">
        <w:rPr>
          <w:rFonts w:hint="cs"/>
          <w:b/>
          <w:bCs/>
          <w:rtl/>
        </w:rPr>
        <w:t xml:space="preserve">עושה הכובעים: דין ודברים עם אהרן ברק </w:t>
      </w:r>
      <w:r w:rsidRPr="00C07D61">
        <w:rPr>
          <w:rFonts w:hint="cs"/>
          <w:rtl/>
        </w:rPr>
        <w:t xml:space="preserve">51-49 (2009). </w:t>
      </w:r>
    </w:p>
  </w:footnote>
  <w:footnote w:id="11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rPr>
          <w:rFonts w:hint="cs"/>
          <w:rtl/>
        </w:rPr>
        <w:t>בנדור</w:t>
      </w:r>
      <w:proofErr w:type="spellEnd"/>
      <w:r w:rsidRPr="00C07D61">
        <w:rPr>
          <w:rFonts w:hint="cs"/>
          <w:rtl/>
        </w:rPr>
        <w:t xml:space="preserve"> וסגל, לעיל </w:t>
      </w:r>
      <w:proofErr w:type="spellStart"/>
      <w:r w:rsidRPr="00C07D61">
        <w:rPr>
          <w:rFonts w:hint="cs"/>
          <w:rtl/>
        </w:rPr>
        <w:t>ה"ש</w:t>
      </w:r>
      <w:proofErr w:type="spellEnd"/>
      <w:r w:rsidRPr="00C07D61">
        <w:rPr>
          <w:rFonts w:hint="cs"/>
          <w:rtl/>
        </w:rPr>
        <w:t xml:space="preserve"> </w:t>
      </w:r>
      <w:fldSimple w:instr=" NOTEREF _Ref365893977 \h  \* MERGEFORMAT ">
        <w:r w:rsidR="00DE2615">
          <w:t>116</w:t>
        </w:r>
      </w:fldSimple>
      <w:r w:rsidRPr="00C07D61">
        <w:rPr>
          <w:rFonts w:hint="cs"/>
          <w:rtl/>
        </w:rPr>
        <w:t xml:space="preserve">. עושה הכובעים. בפועל, הרוב המכריע של פסקי הדין החוקתיים של בית המשפט העליון </w:t>
      </w:r>
      <w:r w:rsidRPr="00C07D61">
        <w:rPr>
          <w:rtl/>
        </w:rPr>
        <w:t>–</w:t>
      </w:r>
      <w:r w:rsidRPr="00C07D61">
        <w:rPr>
          <w:rFonts w:hint="cs"/>
          <w:rtl/>
        </w:rPr>
        <w:t xml:space="preserve"> בין אלה שדוחים עתירות לביקורת שיפוטית ובין אלה שמקבלים אותן </w:t>
      </w:r>
      <w:r w:rsidRPr="00C07D61">
        <w:rPr>
          <w:rtl/>
        </w:rPr>
        <w:t>–</w:t>
      </w:r>
      <w:r w:rsidRPr="00C07D61">
        <w:rPr>
          <w:rFonts w:hint="cs"/>
          <w:rtl/>
        </w:rPr>
        <w:t xml:space="preserve"> ניתנים פה אחד. דעות מיעוט הן מחזה נדיר, ומחלוקות המפלגות את בית המשפט באופן ממשי הן חריגות עוד יותר. </w:t>
      </w:r>
    </w:p>
  </w:footnote>
  <w:footnote w:id="11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בג"ץ </w:t>
      </w:r>
      <w:r w:rsidRPr="00C07D61">
        <w:rPr>
          <w:rFonts w:hint="cs"/>
          <w:b/>
          <w:bCs/>
          <w:rtl/>
        </w:rPr>
        <w:t>בוגרי התיכון</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997 \h  \* MERGEFORMAT ">
        <w:r w:rsidR="00DE2615">
          <w:t>49</w:t>
        </w:r>
      </w:fldSimple>
      <w:r w:rsidRPr="00C07D61">
        <w:rPr>
          <w:rFonts w:hint="cs"/>
          <w:rtl/>
        </w:rPr>
        <w:t>.</w:t>
      </w:r>
    </w:p>
  </w:footnote>
  <w:footnote w:id="12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tl/>
        </w:rPr>
        <w:t>בג"</w:t>
      </w:r>
      <w:r w:rsidRPr="00C07D61">
        <w:rPr>
          <w:rFonts w:hint="cs"/>
          <w:rtl/>
        </w:rPr>
        <w:t>ץ</w:t>
      </w:r>
      <w:r w:rsidRPr="00C07D61">
        <w:rPr>
          <w:rtl/>
        </w:rPr>
        <w:t xml:space="preserve"> 212/03 </w:t>
      </w:r>
      <w:r w:rsidRPr="00C07D61">
        <w:rPr>
          <w:b/>
          <w:bCs/>
          <w:rtl/>
        </w:rPr>
        <w:t>חרות התנועה הלאומית נ' יו"ר ועדת הבחירות המרכזית לכנסת השש-עשרה</w:t>
      </w:r>
      <w:r w:rsidRPr="00C07D61">
        <w:rPr>
          <w:rtl/>
        </w:rPr>
        <w:t xml:space="preserve">, פ"ד </w:t>
      </w:r>
      <w:proofErr w:type="spellStart"/>
      <w:r w:rsidRPr="00C07D61">
        <w:rPr>
          <w:rtl/>
        </w:rPr>
        <w:t>נז</w:t>
      </w:r>
      <w:proofErr w:type="spellEnd"/>
      <w:r w:rsidRPr="00C07D61">
        <w:rPr>
          <w:rtl/>
        </w:rPr>
        <w:t>(1) 250</w:t>
      </w:r>
      <w:r w:rsidRPr="00C07D61">
        <w:rPr>
          <w:rFonts w:hint="cs"/>
          <w:rtl/>
        </w:rPr>
        <w:t xml:space="preserve"> (2003). </w:t>
      </w:r>
    </w:p>
  </w:footnote>
  <w:footnote w:id="12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לעיל </w:t>
      </w:r>
      <w:proofErr w:type="spellStart"/>
      <w:r w:rsidRPr="00C07D61">
        <w:rPr>
          <w:rFonts w:hint="cs"/>
          <w:rtl/>
        </w:rPr>
        <w:t>ה"ש</w:t>
      </w:r>
      <w:proofErr w:type="spellEnd"/>
      <w:r w:rsidRPr="00C07D61">
        <w:rPr>
          <w:rFonts w:hint="cs"/>
          <w:rtl/>
        </w:rPr>
        <w:t xml:space="preserve"> </w:t>
      </w:r>
      <w:fldSimple w:instr=" NOTEREF _Ref365886608 \h  \* MERGEFORMAT ">
        <w:r w:rsidR="00DE2615">
          <w:t>23</w:t>
        </w:r>
      </w:fldSimple>
      <w:r w:rsidRPr="00C07D61">
        <w:rPr>
          <w:rFonts w:hint="cs"/>
          <w:rtl/>
        </w:rPr>
        <w:t xml:space="preserve">. </w:t>
      </w:r>
    </w:p>
  </w:footnote>
  <w:footnote w:id="122">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לעיל </w:t>
      </w:r>
      <w:proofErr w:type="spellStart"/>
      <w:r w:rsidRPr="00C07D61">
        <w:rPr>
          <w:rFonts w:hint="cs"/>
          <w:rtl/>
        </w:rPr>
        <w:t>ה"ש</w:t>
      </w:r>
      <w:proofErr w:type="spellEnd"/>
      <w:r w:rsidRPr="00C07D61">
        <w:rPr>
          <w:rFonts w:hint="cs"/>
          <w:rtl/>
        </w:rPr>
        <w:t xml:space="preserve"> </w:t>
      </w:r>
      <w:fldSimple w:instr=" NOTEREF _Ref365886608 \h  \* MERGEFORMAT ">
        <w:r w:rsidR="00DE2615">
          <w:t>23</w:t>
        </w:r>
      </w:fldSimple>
      <w:r w:rsidRPr="00C07D61">
        <w:rPr>
          <w:rFonts w:hint="cs"/>
          <w:rtl/>
        </w:rPr>
        <w:t>.</w:t>
      </w:r>
    </w:p>
  </w:footnote>
  <w:footnote w:id="12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גיא זיידמן והלל סומר "בית-המשפט העליון וההתנתקות" </w:t>
      </w:r>
      <w:r w:rsidRPr="00C07D61">
        <w:rPr>
          <w:rFonts w:hint="cs"/>
          <w:b/>
          <w:bCs/>
          <w:rtl/>
        </w:rPr>
        <w:t>משפט וממשל</w:t>
      </w:r>
      <w:r w:rsidRPr="00C07D61">
        <w:rPr>
          <w:rFonts w:hint="cs"/>
          <w:rtl/>
        </w:rPr>
        <w:t xml:space="preserve"> ט 579, 607-606 (תשס"ו) (ניתוח החלטת בית המשפט העליון בעתירות החוקתיות נגד הסדרי הפיצויים בחוק יישום תכנית ההתנתקות, תשס"ה-2005, שלא לדחות על הסף את הטענות מן הטעם שניתן לעוררן במסגרת ועדות הזכאות שהוקמו לפי החוק. לשיטת הכותבים, ההסבר הטוב ביותר להחלטת בית המשפט היא לוח הזמנים הקצר שנקבע לפינוי; ראו </w:t>
      </w:r>
      <w:r w:rsidRPr="00C07D61">
        <w:rPr>
          <w:rtl/>
        </w:rPr>
        <w:t xml:space="preserve">בג״ץ 1661/05 </w:t>
      </w:r>
      <w:r w:rsidRPr="00C07D61">
        <w:rPr>
          <w:b/>
          <w:bCs/>
          <w:rtl/>
        </w:rPr>
        <w:t>ה</w:t>
      </w:r>
      <w:r w:rsidRPr="00C07D61">
        <w:rPr>
          <w:rFonts w:hint="cs"/>
          <w:b/>
          <w:bCs/>
          <w:rtl/>
        </w:rPr>
        <w:t>מ</w:t>
      </w:r>
      <w:r w:rsidRPr="00C07D61">
        <w:rPr>
          <w:b/>
          <w:bCs/>
          <w:rtl/>
        </w:rPr>
        <w:t>ועצה האזורית חוף עזה נ׳ כנסת ישראל</w:t>
      </w:r>
      <w:r w:rsidRPr="00C07D61">
        <w:rPr>
          <w:rtl/>
        </w:rPr>
        <w:t>, פ׳׳ד נט</w:t>
      </w:r>
      <w:r w:rsidRPr="00C07D61">
        <w:rPr>
          <w:rFonts w:hint="cs"/>
          <w:rtl/>
        </w:rPr>
        <w:t xml:space="preserve">(2) 481, 582-581 </w:t>
      </w:r>
      <w:r w:rsidRPr="00C07D61">
        <w:rPr>
          <w:rtl/>
        </w:rPr>
        <w:t>(2005)</w:t>
      </w:r>
      <w:r w:rsidRPr="00C07D61">
        <w:rPr>
          <w:rFonts w:hint="cs"/>
          <w:rtl/>
        </w:rPr>
        <w:t xml:space="preserve">).  </w:t>
      </w:r>
    </w:p>
  </w:footnote>
  <w:footnote w:id="12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בג"ץ </w:t>
      </w:r>
      <w:proofErr w:type="spellStart"/>
      <w:r w:rsidRPr="00C07D61">
        <w:rPr>
          <w:rFonts w:hint="cs"/>
          <w:b/>
          <w:bCs/>
          <w:rtl/>
        </w:rPr>
        <w:t>רסלר</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4074 \h  \* MERGEFORMAT ">
        <w:r w:rsidR="00DE2615">
          <w:t>48</w:t>
        </w:r>
      </w:fldSimple>
      <w:r w:rsidRPr="00C07D61">
        <w:rPr>
          <w:rFonts w:hint="cs"/>
          <w:rtl/>
        </w:rPr>
        <w:t xml:space="preserve">. </w:t>
      </w:r>
    </w:p>
  </w:footnote>
  <w:footnote w:id="125">
    <w:p w:rsidR="009F0DE7" w:rsidRPr="00C07D61" w:rsidRDefault="009F0DE7" w:rsidP="00511BD0">
      <w:pPr>
        <w:pStyle w:val="FootnoteText"/>
        <w:spacing w:afterLines="40"/>
        <w:jc w:val="both"/>
      </w:pPr>
      <w:r w:rsidRPr="00C07D61">
        <w:rPr>
          <w:rStyle w:val="FootnoteReference"/>
        </w:rPr>
        <w:footnoteRef/>
      </w:r>
      <w:r w:rsidRPr="00C07D61">
        <w:rPr>
          <w:rtl/>
        </w:rPr>
        <w:t xml:space="preserve"> בג</w:t>
      </w:r>
      <w:r w:rsidRPr="00C07D61">
        <w:rPr>
          <w:rFonts w:hint="cs"/>
          <w:rtl/>
        </w:rPr>
        <w:t>"</w:t>
      </w:r>
      <w:r w:rsidRPr="00C07D61">
        <w:rPr>
          <w:rtl/>
        </w:rPr>
        <w:t xml:space="preserve">ץ 2605/05 </w:t>
      </w:r>
      <w:r w:rsidRPr="00C07D61">
        <w:rPr>
          <w:b/>
          <w:bCs/>
          <w:rtl/>
        </w:rPr>
        <w:t>המרכז האקדמי למשפט ולעסקים</w:t>
      </w:r>
      <w:r w:rsidRPr="00C07D61">
        <w:rPr>
          <w:rFonts w:hint="cs"/>
          <w:b/>
          <w:bCs/>
          <w:rtl/>
        </w:rPr>
        <w:t>,</w:t>
      </w:r>
      <w:r w:rsidRPr="00C07D61">
        <w:rPr>
          <w:b/>
          <w:bCs/>
          <w:rtl/>
        </w:rPr>
        <w:t xml:space="preserve"> חטיבת זכויות האדם נ' שר האוצר</w:t>
      </w:r>
      <w:r w:rsidRPr="00C07D61">
        <w:rPr>
          <w:rFonts w:hint="cs"/>
          <w:rtl/>
        </w:rPr>
        <w:t xml:space="preserve">, (פורסם בנבו, 19.11.2009). </w:t>
      </w:r>
    </w:p>
  </w:footnote>
  <w:footnote w:id="12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לעיל </w:t>
      </w:r>
      <w:proofErr w:type="spellStart"/>
      <w:r w:rsidRPr="00C07D61">
        <w:rPr>
          <w:rFonts w:hint="cs"/>
          <w:rtl/>
        </w:rPr>
        <w:t>ה"ש</w:t>
      </w:r>
      <w:proofErr w:type="spellEnd"/>
      <w:r w:rsidRPr="00C07D61">
        <w:rPr>
          <w:rFonts w:hint="cs"/>
          <w:rtl/>
        </w:rPr>
        <w:t xml:space="preserve"> </w:t>
      </w:r>
      <w:fldSimple w:instr=" NOTEREF _Ref365893997 \h  \* MERGEFORMAT ">
        <w:r w:rsidR="00DE2615">
          <w:t>49</w:t>
        </w:r>
      </w:fldSimple>
      <w:r w:rsidRPr="00C07D61">
        <w:rPr>
          <w:rFonts w:hint="cs"/>
          <w:rtl/>
        </w:rPr>
        <w:t xml:space="preserve">. </w:t>
      </w:r>
    </w:p>
  </w:footnote>
  <w:footnote w:id="127">
    <w:p w:rsidR="004500C3" w:rsidRPr="00C07D61" w:rsidRDefault="00413EBB" w:rsidP="00511BD0">
      <w:pPr>
        <w:pStyle w:val="FootnoteText"/>
        <w:spacing w:after="40"/>
        <w:jc w:val="both"/>
      </w:pPr>
      <w:r w:rsidRPr="00C07D61">
        <w:rPr>
          <w:rStyle w:val="FootnoteReference"/>
        </w:rPr>
        <w:footnoteRef/>
      </w:r>
      <w:r w:rsidRPr="00C07D61">
        <w:rPr>
          <w:rtl/>
        </w:rPr>
        <w:t xml:space="preserve"> </w:t>
      </w:r>
      <w:r w:rsidRPr="00C07D61">
        <w:rPr>
          <w:rFonts w:hint="cs"/>
          <w:rtl/>
        </w:rPr>
        <w:t xml:space="preserve">זו בקירוב טענתו של </w:t>
      </w:r>
      <w:r w:rsidR="004500C3">
        <w:rPr>
          <w:rFonts w:hint="cs"/>
          <w:rtl/>
        </w:rPr>
        <w:t xml:space="preserve">פוליאק, לעיל </w:t>
      </w:r>
      <w:proofErr w:type="spellStart"/>
      <w:r w:rsidR="004500C3">
        <w:rPr>
          <w:rFonts w:hint="cs"/>
          <w:rtl/>
        </w:rPr>
        <w:t>ה"ש</w:t>
      </w:r>
      <w:proofErr w:type="spellEnd"/>
      <w:r w:rsidR="004500C3">
        <w:rPr>
          <w:rFonts w:hint="cs"/>
          <w:rtl/>
        </w:rPr>
        <w:t xml:space="preserve"> </w:t>
      </w:r>
      <w:r w:rsidR="00511BD0">
        <w:rPr>
          <w:rtl/>
        </w:rPr>
        <w:fldChar w:fldCharType="begin"/>
      </w:r>
      <w:r w:rsidR="00511BD0">
        <w:rPr>
          <w:rtl/>
        </w:rPr>
        <w:instrText xml:space="preserve"> </w:instrText>
      </w:r>
      <w:r w:rsidR="00511BD0">
        <w:rPr>
          <w:rFonts w:hint="cs"/>
        </w:rPr>
        <w:instrText>NOTEREF</w:instrText>
      </w:r>
      <w:r w:rsidR="00511BD0">
        <w:rPr>
          <w:rFonts w:hint="cs"/>
          <w:rtl/>
        </w:rPr>
        <w:instrText xml:space="preserve"> _</w:instrText>
      </w:r>
      <w:r w:rsidR="00511BD0">
        <w:rPr>
          <w:rFonts w:hint="cs"/>
        </w:rPr>
        <w:instrText>Ref378692843 \h</w:instrText>
      </w:r>
      <w:r w:rsidR="00511BD0">
        <w:rPr>
          <w:rtl/>
        </w:rPr>
        <w:instrText xml:space="preserve"> </w:instrText>
      </w:r>
      <w:r w:rsidR="00511BD0">
        <w:rPr>
          <w:rtl/>
        </w:rPr>
      </w:r>
      <w:r w:rsidR="00511BD0">
        <w:rPr>
          <w:rtl/>
        </w:rPr>
        <w:fldChar w:fldCharType="separate"/>
      </w:r>
      <w:r w:rsidR="00DE2615">
        <w:rPr>
          <w:rtl/>
        </w:rPr>
        <w:t>60</w:t>
      </w:r>
      <w:r w:rsidR="00511BD0">
        <w:rPr>
          <w:rtl/>
        </w:rPr>
        <w:fldChar w:fldCharType="end"/>
      </w:r>
      <w:r w:rsidR="004500C3">
        <w:rPr>
          <w:rFonts w:hint="cs"/>
          <w:rtl/>
        </w:rPr>
        <w:t>.</w:t>
      </w:r>
      <w:r w:rsidRPr="00C07D61">
        <w:rPr>
          <w:rFonts w:hint="cs"/>
          <w:rtl/>
        </w:rPr>
        <w:t xml:space="preserve"> </w:t>
      </w:r>
    </w:p>
  </w:footnote>
  <w:footnote w:id="12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למשל </w:t>
      </w:r>
      <w:proofErr w:type="spellStart"/>
      <w:r w:rsidRPr="00C07D61">
        <w:rPr>
          <w:smallCaps/>
        </w:rPr>
        <w:t>Comella</w:t>
      </w:r>
      <w:proofErr w:type="spellEnd"/>
      <w:r w:rsidRPr="00C07D61">
        <w:rPr>
          <w:rFonts w:hint="cs"/>
          <w:smallCaps/>
          <w:rtl/>
        </w:rPr>
        <w:t xml:space="preserve">, לעיל </w:t>
      </w:r>
      <w:proofErr w:type="spellStart"/>
      <w:r w:rsidRPr="00C07D61">
        <w:rPr>
          <w:rFonts w:hint="cs"/>
          <w:smallCaps/>
          <w:rtl/>
        </w:rPr>
        <w:t>ה"ש</w:t>
      </w:r>
      <w:proofErr w:type="spellEnd"/>
      <w:r w:rsidRPr="00C07D61">
        <w:rPr>
          <w:rFonts w:hint="cs"/>
          <w:smallCaps/>
          <w:rtl/>
        </w:rPr>
        <w:t xml:space="preserve"> </w:t>
      </w:r>
      <w:fldSimple w:instr=" NOTEREF _Ref373311900 \h  \* MERGEFORMAT ">
        <w:r w:rsidR="00DE2615">
          <w:t>5</w:t>
        </w:r>
      </w:fldSimple>
      <w:r w:rsidRPr="00C07D61">
        <w:rPr>
          <w:rFonts w:hint="cs"/>
          <w:smallCaps/>
          <w:rtl/>
        </w:rPr>
        <w:t xml:space="preserve">, </w:t>
      </w:r>
      <w:proofErr w:type="spellStart"/>
      <w:r w:rsidRPr="00C07D61">
        <w:rPr>
          <w:rFonts w:hint="cs"/>
          <w:smallCaps/>
          <w:rtl/>
        </w:rPr>
        <w:t>בעמ</w:t>
      </w:r>
      <w:proofErr w:type="spellEnd"/>
      <w:r w:rsidRPr="00C07D61">
        <w:rPr>
          <w:rFonts w:hint="cs"/>
          <w:smallCaps/>
          <w:rtl/>
        </w:rPr>
        <w:t>'</w:t>
      </w:r>
      <w:r w:rsidRPr="00C07D61">
        <w:rPr>
          <w:rFonts w:hint="cs"/>
          <w:rtl/>
        </w:rPr>
        <w:t xml:space="preserve"> 120, המציע להפקיד בידי הפורום הריכוזי שאלות חוקתיות מורכבות וחדשות, ולהותיר למסלול הביזורי נושאים חוקתיים שכבר זכו לפירוש מנחה על ידי בית המשפט העליון. </w:t>
      </w:r>
    </w:p>
  </w:footnote>
  <w:footnote w:id="129">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בג"ץ </w:t>
      </w:r>
      <w:proofErr w:type="spellStart"/>
      <w:r w:rsidRPr="00C07D61">
        <w:rPr>
          <w:rFonts w:hint="cs"/>
          <w:b/>
          <w:bCs/>
          <w:rtl/>
        </w:rPr>
        <w:t>עדאלה</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4074 \h  \* MERGEFORMAT ">
        <w:r w:rsidR="00DE2615">
          <w:t>48</w:t>
        </w:r>
      </w:fldSimple>
      <w:r w:rsidRPr="00C07D61">
        <w:rPr>
          <w:rFonts w:hint="cs"/>
          <w:rtl/>
        </w:rPr>
        <w:t xml:space="preserve">; בג"ץ </w:t>
      </w:r>
      <w:r w:rsidRPr="00C07D61">
        <w:rPr>
          <w:rFonts w:hint="cs"/>
          <w:b/>
          <w:bCs/>
          <w:rtl/>
        </w:rPr>
        <w:t>גלאון</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4074 \h  \* MERGEFORMAT ">
        <w:r w:rsidR="00DE2615">
          <w:t>48</w:t>
        </w:r>
      </w:fldSimple>
      <w:r w:rsidRPr="00C07D61">
        <w:rPr>
          <w:rFonts w:hint="cs"/>
          <w:rtl/>
        </w:rPr>
        <w:t xml:space="preserve">. </w:t>
      </w:r>
    </w:p>
  </w:footnote>
  <w:footnote w:id="130">
    <w:p w:rsidR="009F0DE7" w:rsidRPr="00C07D61" w:rsidRDefault="009F0DE7" w:rsidP="00511BD0">
      <w:pPr>
        <w:pStyle w:val="FootnoteText"/>
        <w:spacing w:after="40"/>
        <w:jc w:val="both"/>
      </w:pPr>
      <w:r w:rsidRPr="00C07D61">
        <w:rPr>
          <w:rStyle w:val="FootnoteReference"/>
        </w:rPr>
        <w:footnoteRef/>
      </w:r>
      <w:r w:rsidRPr="00C07D61">
        <w:rPr>
          <w:rtl/>
        </w:rPr>
        <w:t xml:space="preserve"> </w:t>
      </w:r>
      <w:r w:rsidRPr="00C07D61">
        <w:rPr>
          <w:rFonts w:hint="cs"/>
          <w:rtl/>
        </w:rPr>
        <w:t xml:space="preserve">ראו לעיל </w:t>
      </w:r>
      <w:proofErr w:type="spellStart"/>
      <w:r w:rsidRPr="00C07D61">
        <w:rPr>
          <w:rFonts w:hint="cs"/>
          <w:rtl/>
        </w:rPr>
        <w:t>ה"ש</w:t>
      </w:r>
      <w:proofErr w:type="spellEnd"/>
      <w:r w:rsidRPr="00C07D61">
        <w:rPr>
          <w:rFonts w:hint="cs"/>
          <w:rtl/>
        </w:rPr>
        <w:t xml:space="preserve"> </w:t>
      </w:r>
      <w:fldSimple w:instr=" NOTEREF _Ref373312122 \h  \* MERGEFORMAT ">
        <w:r w:rsidR="00DE2615">
          <w:t>34</w:t>
        </w:r>
      </w:fldSimple>
      <w:r w:rsidRPr="00C07D61">
        <w:rPr>
          <w:rFonts w:hint="cs"/>
          <w:rtl/>
        </w:rPr>
        <w:t xml:space="preserve"> והטקסט לידה. </w:t>
      </w:r>
    </w:p>
  </w:footnote>
  <w:footnote w:id="131">
    <w:p w:rsidR="009F0DE7" w:rsidRPr="00C07D61" w:rsidRDefault="009F0DE7" w:rsidP="00511BD0">
      <w:pPr>
        <w:pStyle w:val="FootnoteText"/>
        <w:spacing w:after="40"/>
        <w:jc w:val="both"/>
        <w:rPr>
          <w:rtl/>
        </w:rPr>
      </w:pPr>
      <w:r w:rsidRPr="00C07D61">
        <w:rPr>
          <w:rStyle w:val="FootnoteReference"/>
        </w:rPr>
        <w:footnoteRef/>
      </w:r>
      <w:r w:rsidRPr="00C07D61">
        <w:rPr>
          <w:rtl/>
        </w:rPr>
        <w:t xml:space="preserve"> </w:t>
      </w:r>
      <w:r w:rsidRPr="00C07D61">
        <w:rPr>
          <w:rFonts w:hint="cs"/>
          <w:rtl/>
        </w:rPr>
        <w:t xml:space="preserve">השוו </w:t>
      </w:r>
      <w:r w:rsidRPr="00C07D61">
        <w:t xml:space="preserve">Cass R. </w:t>
      </w:r>
      <w:proofErr w:type="spellStart"/>
      <w:r w:rsidRPr="00C07D61">
        <w:t>Sunstein</w:t>
      </w:r>
      <w:proofErr w:type="spellEnd"/>
      <w:r w:rsidRPr="00C07D61">
        <w:t xml:space="preserve"> &amp; Adrian </w:t>
      </w:r>
      <w:proofErr w:type="spellStart"/>
      <w:r w:rsidRPr="00C07D61">
        <w:t>Vermeule</w:t>
      </w:r>
      <w:proofErr w:type="spellEnd"/>
      <w:r w:rsidRPr="00C07D61">
        <w:t xml:space="preserve">, </w:t>
      </w:r>
      <w:r w:rsidRPr="00C07D61">
        <w:rPr>
          <w:i/>
          <w:iCs/>
        </w:rPr>
        <w:t>Interpretation and Institutions</w:t>
      </w:r>
      <w:r w:rsidRPr="00C07D61">
        <w:t>, 101 M</w:t>
      </w:r>
      <w:r w:rsidRPr="00C07D61">
        <w:rPr>
          <w:smallCaps/>
        </w:rPr>
        <w:t>ich. L. Rev</w:t>
      </w:r>
      <w:r w:rsidRPr="00C07D61">
        <w:t>. 885, 928-31 (2003)</w:t>
      </w:r>
      <w:r w:rsidRPr="00C07D61">
        <w:rPr>
          <w:rFonts w:hint="cs"/>
          <w:rtl/>
        </w:rPr>
        <w:t xml:space="preserve"> (בחינת האפשרות שלרשויות רגולטוריות תינתן חירות פרשנית גדולה יותר של חקיקה מסמיכה מזו שתותר לבתי המשפט המבקרים את פעולותיהן). </w:t>
      </w:r>
    </w:p>
  </w:footnote>
  <w:footnote w:id="13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ע"פ </w:t>
      </w:r>
      <w:proofErr w:type="spellStart"/>
      <w:r w:rsidRPr="00C07D61">
        <w:rPr>
          <w:rFonts w:hint="cs"/>
          <w:b/>
          <w:bCs/>
          <w:rtl/>
        </w:rPr>
        <w:t>הנדלמן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4166 \h  \* MERGEFORMAT ">
        <w:r w:rsidR="00DE2615">
          <w:t>39</w:t>
        </w:r>
      </w:fldSimple>
      <w:r w:rsidRPr="00C07D61">
        <w:rPr>
          <w:rFonts w:hint="cs"/>
          <w:rtl/>
        </w:rPr>
        <w:t xml:space="preserve">. לדוגמה נוספת ראו ע"א (י-ם) 3350/02 </w:t>
      </w:r>
      <w:r w:rsidRPr="00C07D61">
        <w:rPr>
          <w:rFonts w:hint="cs"/>
          <w:b/>
          <w:bCs/>
          <w:rtl/>
        </w:rPr>
        <w:t>היועץ המשפטי לממשלה נ' עיריית ירושלים</w:t>
      </w:r>
      <w:r w:rsidRPr="00C07D61">
        <w:rPr>
          <w:rFonts w:hint="cs"/>
          <w:rtl/>
        </w:rPr>
        <w:t xml:space="preserve"> (פורסם בנבו, 14.7.2003) (קבלת ערעור על החלטה חוקתית של בית משפט השלום בירושלים (השופטת מיכל אגמון-גונן) שביטלה הוראות רבות בפרק סדר הדין מהיר בתקנות סדר הדין האזרחי. פסק הדין של בית המשפט המחוזי נפתח בגערה לבית משפט השלום על שעורר את השאלה החוקתית מיוזמתו). </w:t>
      </w:r>
    </w:p>
  </w:footnote>
  <w:footnote w:id="13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השוו לבג"ץ 6871/03, לעיל </w:t>
      </w:r>
      <w:proofErr w:type="spellStart"/>
      <w:r w:rsidRPr="00C07D61">
        <w:rPr>
          <w:rFonts w:hint="cs"/>
          <w:rtl/>
        </w:rPr>
        <w:t>ה"ש</w:t>
      </w:r>
      <w:proofErr w:type="spellEnd"/>
      <w:r w:rsidRPr="00C07D61">
        <w:rPr>
          <w:rFonts w:hint="cs"/>
          <w:rtl/>
        </w:rPr>
        <w:t xml:space="preserve"> </w:t>
      </w:r>
      <w:fldSimple w:instr=" NOTEREF _Ref373312155 \h  \* MERGEFORMAT ">
        <w:r w:rsidR="00DE2615">
          <w:t>24</w:t>
        </w:r>
      </w:fldSimple>
      <w:r w:rsidRPr="00C07D61">
        <w:rPr>
          <w:rFonts w:hint="cs"/>
          <w:rtl/>
        </w:rPr>
        <w:t xml:space="preserve">. </w:t>
      </w:r>
    </w:p>
  </w:footnote>
  <w:footnote w:id="134">
    <w:p w:rsidR="009F0DE7" w:rsidRPr="00C07D61" w:rsidRDefault="009F0DE7" w:rsidP="00511BD0">
      <w:pPr>
        <w:pStyle w:val="FootnoteText"/>
        <w:spacing w:afterLines="40"/>
        <w:jc w:val="both"/>
      </w:pPr>
      <w:r w:rsidRPr="00C07D61">
        <w:rPr>
          <w:rStyle w:val="FootnoteReference"/>
        </w:rPr>
        <w:footnoteRef/>
      </w:r>
      <w:r w:rsidRPr="00C07D61">
        <w:rPr>
          <w:rFonts w:hint="cs"/>
          <w:rtl/>
        </w:rPr>
        <w:t xml:space="preserve"> ס' 76 לחוק בתי המשפט [נוסח משולב], תשמ"ד-1984.</w:t>
      </w:r>
    </w:p>
  </w:footnote>
  <w:footnote w:id="13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שם. </w:t>
      </w:r>
    </w:p>
  </w:footnote>
  <w:footnote w:id="13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r w:rsidRPr="00C07D61">
        <w:rPr>
          <w:rFonts w:hint="cs"/>
          <w:b/>
          <w:bCs/>
          <w:rtl/>
        </w:rPr>
        <w:t>בג"ץ בוגרי התיכון</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997 \h  \* MERGEFORMAT ">
        <w:r w:rsidR="00DE2615">
          <w:t>49</w:t>
        </w:r>
      </w:fldSimple>
      <w:r w:rsidRPr="00C07D61">
        <w:rPr>
          <w:rFonts w:hint="cs"/>
          <w:rtl/>
        </w:rPr>
        <w:t xml:space="preserve">, פסקה 34; ובהקשר המנהלי: </w:t>
      </w:r>
      <w:r w:rsidRPr="00C07D61">
        <w:rPr>
          <w:rtl/>
        </w:rPr>
        <w:t>בג</w:t>
      </w:r>
      <w:r w:rsidRPr="00C07D61">
        <w:rPr>
          <w:rFonts w:hint="cs"/>
          <w:rtl/>
        </w:rPr>
        <w:t>"</w:t>
      </w:r>
      <w:r w:rsidRPr="00C07D61">
        <w:rPr>
          <w:rtl/>
        </w:rPr>
        <w:t xml:space="preserve">ץ 6090/08 </w:t>
      </w:r>
      <w:r w:rsidRPr="00C07D61">
        <w:rPr>
          <w:b/>
          <w:bCs/>
          <w:rtl/>
        </w:rPr>
        <w:t>ברגר נ' שר המשפטים</w:t>
      </w:r>
      <w:r w:rsidRPr="00C07D61">
        <w:rPr>
          <w:rFonts w:hint="cs"/>
          <w:rtl/>
        </w:rPr>
        <w:t xml:space="preserve">, פסקאות 6-5 (פורסם בנבו, 11.8.2008); </w:t>
      </w:r>
      <w:r w:rsidRPr="00C07D61">
        <w:rPr>
          <w:rtl/>
        </w:rPr>
        <w:t>בג</w:t>
      </w:r>
      <w:r w:rsidRPr="00C07D61">
        <w:rPr>
          <w:rFonts w:hint="cs"/>
          <w:rtl/>
        </w:rPr>
        <w:t>"</w:t>
      </w:r>
      <w:r w:rsidRPr="00C07D61">
        <w:rPr>
          <w:rtl/>
        </w:rPr>
        <w:t>ץ 2172/13 ‏</w:t>
      </w:r>
      <w:r w:rsidRPr="00C07D61">
        <w:rPr>
          <w:b/>
          <w:bCs/>
          <w:rtl/>
        </w:rPr>
        <w:t>כהן נ' שר המשפטים</w:t>
      </w:r>
      <w:r w:rsidRPr="00C07D61">
        <w:rPr>
          <w:rFonts w:hint="cs"/>
          <w:rtl/>
        </w:rPr>
        <w:t>, פסקה 8 (פורסם בנבו, 21.3.2013).</w:t>
      </w:r>
    </w:p>
  </w:footnote>
  <w:footnote w:id="137">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Fonts w:ascii="David" w:hAnsi="David"/>
          <w:color w:val="000000"/>
          <w:rtl/>
        </w:rPr>
        <w:t xml:space="preserve">סע (ת"א) 54860-01-12 </w:t>
      </w:r>
      <w:proofErr w:type="spellStart"/>
      <w:r w:rsidRPr="00C07D61">
        <w:rPr>
          <w:rFonts w:ascii="David" w:hAnsi="David"/>
          <w:b/>
          <w:bCs/>
          <w:color w:val="000000"/>
          <w:rtl/>
        </w:rPr>
        <w:t>לנצברג</w:t>
      </w:r>
      <w:proofErr w:type="spellEnd"/>
      <w:r w:rsidRPr="00C07D61">
        <w:rPr>
          <w:rFonts w:ascii="David" w:hAnsi="David"/>
          <w:b/>
          <w:bCs/>
          <w:color w:val="000000"/>
          <w:rtl/>
        </w:rPr>
        <w:t xml:space="preserve"> נ' מדינת ישראל</w:t>
      </w:r>
      <w:r w:rsidRPr="00C07D61">
        <w:rPr>
          <w:rFonts w:ascii="David" w:hAnsi="David" w:hint="cs"/>
          <w:color w:val="000000"/>
          <w:rtl/>
        </w:rPr>
        <w:t xml:space="preserve"> פסקאות 22-19 (פורסם בנבו, החלטה מיום 14.3.2013).</w:t>
      </w:r>
    </w:p>
  </w:footnote>
  <w:footnote w:id="13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tl/>
        </w:rPr>
        <w:t xml:space="preserve">הצעת חוק בתי משפט </w:t>
      </w:r>
      <w:proofErr w:type="spellStart"/>
      <w:r w:rsidRPr="00C07D61">
        <w:rPr>
          <w:rtl/>
        </w:rPr>
        <w:t>לענינים</w:t>
      </w:r>
      <w:proofErr w:type="spellEnd"/>
      <w:r w:rsidRPr="00C07D61">
        <w:rPr>
          <w:rtl/>
        </w:rPr>
        <w:t xml:space="preserve"> </w:t>
      </w:r>
      <w:proofErr w:type="spellStart"/>
      <w:r w:rsidRPr="00C07D61">
        <w:rPr>
          <w:rtl/>
        </w:rPr>
        <w:t>מינהליים</w:t>
      </w:r>
      <w:proofErr w:type="spellEnd"/>
      <w:r w:rsidRPr="00C07D61">
        <w:rPr>
          <w:rtl/>
        </w:rPr>
        <w:t xml:space="preserve"> </w:t>
      </w:r>
      <w:r w:rsidRPr="00C07D61">
        <w:rPr>
          <w:rFonts w:hint="cs"/>
          <w:rtl/>
        </w:rPr>
        <w:t>(</w:t>
      </w:r>
      <w:r w:rsidRPr="00C07D61">
        <w:rPr>
          <w:rtl/>
        </w:rPr>
        <w:t>תיקון מס' 75</w:t>
      </w:r>
      <w:r w:rsidRPr="00C07D61">
        <w:rPr>
          <w:rFonts w:hint="cs"/>
          <w:rtl/>
        </w:rPr>
        <w:t>) (</w:t>
      </w:r>
      <w:r w:rsidRPr="00C07D61">
        <w:rPr>
          <w:rtl/>
        </w:rPr>
        <w:t xml:space="preserve">בתי משפט שלום </w:t>
      </w:r>
      <w:proofErr w:type="spellStart"/>
      <w:r w:rsidRPr="00C07D61">
        <w:rPr>
          <w:rtl/>
        </w:rPr>
        <w:t>לענינים</w:t>
      </w:r>
      <w:proofErr w:type="spellEnd"/>
      <w:r w:rsidRPr="00C07D61">
        <w:rPr>
          <w:rtl/>
        </w:rPr>
        <w:t xml:space="preserve"> </w:t>
      </w:r>
      <w:proofErr w:type="spellStart"/>
      <w:r w:rsidRPr="00C07D61">
        <w:rPr>
          <w:rtl/>
        </w:rPr>
        <w:t>מינהליים</w:t>
      </w:r>
      <w:proofErr w:type="spellEnd"/>
      <w:r w:rsidRPr="00C07D61">
        <w:rPr>
          <w:rFonts w:hint="cs"/>
          <w:rtl/>
        </w:rPr>
        <w:t xml:space="preserve">), </w:t>
      </w:r>
      <w:proofErr w:type="spellStart"/>
      <w:r w:rsidRPr="00C07D61">
        <w:rPr>
          <w:rFonts w:hint="cs"/>
          <w:rtl/>
        </w:rPr>
        <w:t>התשע"ב</w:t>
      </w:r>
      <w:proofErr w:type="spellEnd"/>
      <w:r w:rsidRPr="00C07D61">
        <w:rPr>
          <w:rFonts w:hint="cs"/>
          <w:rtl/>
        </w:rPr>
        <w:t xml:space="preserve">-2011, </w:t>
      </w:r>
      <w:proofErr w:type="spellStart"/>
      <w:r w:rsidRPr="00C07D61">
        <w:rPr>
          <w:rFonts w:hint="cs"/>
          <w:b/>
          <w:bCs/>
          <w:rtl/>
        </w:rPr>
        <w:t>ה"ח</w:t>
      </w:r>
      <w:proofErr w:type="spellEnd"/>
      <w:r w:rsidRPr="00C07D61">
        <w:rPr>
          <w:rFonts w:hint="cs"/>
          <w:b/>
          <w:bCs/>
          <w:rtl/>
        </w:rPr>
        <w:t xml:space="preserve"> הממשלה</w:t>
      </w:r>
      <w:r w:rsidRPr="00C07D61">
        <w:rPr>
          <w:rFonts w:hint="cs"/>
          <w:rtl/>
        </w:rPr>
        <w:t xml:space="preserve"> 712 עמ' 1243.</w:t>
      </w:r>
    </w:p>
  </w:footnote>
  <w:footnote w:id="139">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ס' 5(1) סיפא לחוק </w:t>
      </w:r>
      <w:r w:rsidRPr="00C07D61">
        <w:rPr>
          <w:rtl/>
        </w:rPr>
        <w:t>בתי משפט לענ</w:t>
      </w:r>
      <w:r w:rsidRPr="00C07D61">
        <w:rPr>
          <w:rFonts w:hint="cs"/>
          <w:rtl/>
        </w:rPr>
        <w:t>י</w:t>
      </w:r>
      <w:r w:rsidRPr="00C07D61">
        <w:rPr>
          <w:rtl/>
        </w:rPr>
        <w:t xml:space="preserve">ינים </w:t>
      </w:r>
      <w:proofErr w:type="spellStart"/>
      <w:r w:rsidRPr="00C07D61">
        <w:rPr>
          <w:rtl/>
        </w:rPr>
        <w:t>מינהליים</w:t>
      </w:r>
      <w:proofErr w:type="spellEnd"/>
      <w:r w:rsidRPr="00C07D61">
        <w:rPr>
          <w:rtl/>
        </w:rPr>
        <w:t>, תש"ס-2000</w:t>
      </w:r>
      <w:r w:rsidRPr="00C07D61">
        <w:rPr>
          <w:rFonts w:hint="cs"/>
          <w:rtl/>
        </w:rPr>
        <w:t xml:space="preserve"> (שלילת הסמכות לדון בעתירות שעניינן "</w:t>
      </w:r>
      <w:r w:rsidRPr="00C07D61">
        <w:rPr>
          <w:rtl/>
        </w:rPr>
        <w:t>התקנת תקנות, לרבות ביטול תקנות, הכרזה על בטלותן או מתן צו להתקין תקנות</w:t>
      </w:r>
      <w:r w:rsidRPr="00C07D61">
        <w:rPr>
          <w:rFonts w:hint="cs"/>
          <w:rtl/>
        </w:rPr>
        <w:t xml:space="preserve">"). </w:t>
      </w:r>
    </w:p>
  </w:footnote>
  <w:footnote w:id="14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תקנה 253 לתקנות סדר הדין האזרחי, תשמ"ד-1984 ("תובענה לסעד הצהרתי גרידא מותר להגיש בדרך המרצת פתיחה"). </w:t>
      </w:r>
    </w:p>
  </w:footnote>
  <w:footnote w:id="14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ס' 2 ל</w:t>
      </w:r>
      <w:r w:rsidRPr="00C07D61">
        <w:rPr>
          <w:rtl/>
        </w:rPr>
        <w:t>חוק לתיקון סדרי הדין האזרחי (המדינה כבעל דין), תשי"ח-1958</w:t>
      </w:r>
      <w:r w:rsidRPr="00C07D61">
        <w:rPr>
          <w:rFonts w:hint="cs"/>
          <w:rtl/>
        </w:rPr>
        <w:t xml:space="preserve">. </w:t>
      </w:r>
    </w:p>
  </w:footnote>
  <w:footnote w:id="142">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לדוגמה אמריקאית מסוג זה ראו</w:t>
      </w:r>
      <w:r w:rsidRPr="00C07D61">
        <w:t>Log Cabin Republicans v. United States, No. 04-08425, 2010 U.S. Dist. LEXIS 108647 (C.D. Cal., October 12, 2010)</w:t>
      </w:r>
      <w:r w:rsidRPr="00C07D61">
        <w:rPr>
          <w:rFonts w:hint="cs"/>
          <w:rtl/>
        </w:rPr>
        <w:t xml:space="preserve"> (צו של ערכאת הדיון הפדראלית בקליפורניה שהוצא נגד צבא ארצות הברית כולו, להשעיית מדיניות "</w:t>
      </w:r>
      <w:r w:rsidRPr="00C07D61">
        <w:t>don’t ask don’t tell</w:t>
      </w:r>
      <w:r w:rsidRPr="00C07D61">
        <w:rPr>
          <w:rFonts w:hint="cs"/>
          <w:rtl/>
        </w:rPr>
        <w:t xml:space="preserve">" בעניין שירות הומוסקסואלים בצבא). ההחלטה בוטלה בדיעבד על ידי ערכאת הערעור בעקבות ביטול חקיקתי של החוק שנקבע כלא חוקתי בערכאת הדיון. ראו </w:t>
      </w:r>
      <w:proofErr w:type="spellStart"/>
      <w:r w:rsidRPr="00C07D61">
        <w:rPr>
          <w:rFonts w:hint="cs"/>
          <w:rtl/>
        </w:rPr>
        <w:t>ראו</w:t>
      </w:r>
      <w:proofErr w:type="spellEnd"/>
      <w:r w:rsidRPr="00C07D61">
        <w:t>Log Cabin Republicans v. United States, 658 F.3d 1162 (9th cir. 2011</w:t>
      </w:r>
      <w:proofErr w:type="gramStart"/>
      <w:r w:rsidRPr="00C07D61">
        <w:t xml:space="preserve">) </w:t>
      </w:r>
      <w:r w:rsidRPr="00C07D61">
        <w:rPr>
          <w:rFonts w:hint="cs"/>
          <w:rtl/>
        </w:rPr>
        <w:t>.</w:t>
      </w:r>
      <w:proofErr w:type="gramEnd"/>
      <w:r w:rsidRPr="00C07D61">
        <w:rPr>
          <w:rFonts w:hint="cs"/>
          <w:rtl/>
        </w:rPr>
        <w:t xml:space="preserve"> אף שקשה לאמוד במדויק את השפעת ההחלטה השיפוטית המקורית על שיקולי הקונגרס בביטול החקיקה, זהו סיפור מובהק של הליך פוליטי שבו הפועלות של ערכאות דיון ושל המחוקק השתלבה לכלל שינוי חוקתי. </w:t>
      </w:r>
    </w:p>
  </w:footnote>
  <w:footnote w:id="14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ס' 75 לחוק בתי המשפט [נוסח משולב], תשמ"ד-1984.</w:t>
      </w:r>
    </w:p>
  </w:footnote>
  <w:footnote w:id="14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יואל זוסמן </w:t>
      </w:r>
      <w:r w:rsidRPr="00C07D61">
        <w:rPr>
          <w:rFonts w:hint="cs"/>
          <w:b/>
          <w:bCs/>
          <w:rtl/>
        </w:rPr>
        <w:t>סדרי הדין האזרחי</w:t>
      </w:r>
      <w:r w:rsidRPr="00C07D61">
        <w:rPr>
          <w:rFonts w:hint="cs"/>
          <w:rtl/>
        </w:rPr>
        <w:t xml:space="preserve"> 63 (מהדורה שביעית בעריכת שלמה לוין, 1995). </w:t>
      </w:r>
    </w:p>
  </w:footnote>
  <w:footnote w:id="14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לעיל פרק ד(4). </w:t>
      </w:r>
    </w:p>
  </w:footnote>
  <w:footnote w:id="14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proofErr w:type="spellStart"/>
      <w:r w:rsidRPr="00C07D61">
        <w:rPr>
          <w:smallCaps/>
        </w:rPr>
        <w:t>Cappelletti</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26 \h  \* MERGEFORMAT ">
        <w:r w:rsidR="00DE2615">
          <w:t>2</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75, 77; </w:t>
      </w:r>
      <w:proofErr w:type="spellStart"/>
      <w:r w:rsidRPr="00C07D61">
        <w:rPr>
          <w:smallCaps/>
        </w:rPr>
        <w:t>Comella</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1900 \h  \* MERGEFORMAT ">
        <w:r w:rsidR="00DE2615">
          <w:t>5</w:t>
        </w:r>
      </w:fldSimple>
      <w:r w:rsidRPr="00C07D61">
        <w:rPr>
          <w:rFonts w:hint="cs"/>
          <w:rtl/>
        </w:rPr>
        <w:t xml:space="preserve">, </w:t>
      </w:r>
      <w:proofErr w:type="spellStart"/>
      <w:r w:rsidRPr="00C07D61">
        <w:rPr>
          <w:rFonts w:hint="cs"/>
          <w:rtl/>
        </w:rPr>
        <w:t>בעמ</w:t>
      </w:r>
      <w:proofErr w:type="spellEnd"/>
      <w:r w:rsidRPr="00C07D61">
        <w:rPr>
          <w:rFonts w:hint="cs"/>
          <w:rtl/>
        </w:rPr>
        <w:t>' 7, 65.</w:t>
      </w:r>
    </w:p>
  </w:footnote>
  <w:footnote w:id="14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t>Joseph R. Pope, Snyder v. Phelps</w:t>
      </w:r>
      <w:r w:rsidRPr="00C07D61">
        <w:rPr>
          <w:i/>
          <w:iCs/>
        </w:rPr>
        <w:t>: Issue Waiver and the Scope of Appellate Discretion</w:t>
      </w:r>
      <w:r w:rsidRPr="00C07D61">
        <w:t xml:space="preserve">, </w:t>
      </w:r>
      <w:r w:rsidRPr="00C07D61">
        <w:rPr>
          <w:smallCaps/>
        </w:rPr>
        <w:t>The Appeal</w:t>
      </w:r>
      <w:r w:rsidRPr="00C07D61">
        <w:t xml:space="preserve">, </w:t>
      </w:r>
      <w:proofErr w:type="gramStart"/>
      <w:r w:rsidRPr="00C07D61">
        <w:t>Summer</w:t>
      </w:r>
      <w:proofErr w:type="gramEnd"/>
      <w:r w:rsidRPr="00C07D61">
        <w:t xml:space="preserve"> 2010, p.3</w:t>
      </w:r>
      <w:r w:rsidRPr="00C07D61">
        <w:rPr>
          <w:rFonts w:hint="cs"/>
          <w:rtl/>
        </w:rPr>
        <w:t xml:space="preserve"> (</w:t>
      </w:r>
      <w:hyperlink r:id="rId13" w:history="1">
        <w:r w:rsidRPr="00C07D61">
          <w:rPr>
            <w:rStyle w:val="Hyperlink"/>
          </w:rPr>
          <w:t>http://tinyurl.com/nsmnu6x</w:t>
        </w:r>
      </w:hyperlink>
      <w:r w:rsidRPr="00C07D61">
        <w:rPr>
          <w:rFonts w:hint="cs"/>
          <w:rtl/>
        </w:rPr>
        <w:t xml:space="preserve">). </w:t>
      </w:r>
    </w:p>
  </w:footnote>
  <w:footnote w:id="148">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ראו לעיל חלק א(2).</w:t>
      </w:r>
    </w:p>
  </w:footnote>
  <w:footnote w:id="149">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smallCaps/>
        </w:rPr>
        <w:t>Brewer-</w:t>
      </w:r>
      <w:proofErr w:type="spellStart"/>
      <w:r w:rsidRPr="00C07D61">
        <w:rPr>
          <w:smallCaps/>
        </w:rPr>
        <w:t>Carías</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526 \h  \* MERGEFORMAT ">
        <w:r w:rsidR="00DE2615">
          <w:t>2</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w:t>
      </w:r>
      <w:r w:rsidR="00E6585E">
        <w:rPr>
          <w:rFonts w:hint="cs"/>
          <w:rtl/>
        </w:rPr>
        <w:t>133 ("</w:t>
      </w:r>
      <w:r w:rsidR="00E6585E">
        <w:t>the rationality of the diffuse system must allow the judge to consider the constitutional question even on his own initiative, even when none of the parties in the particular process have raised the question of the constitutionality of the law before the judge</w:t>
      </w:r>
      <w:r w:rsidR="00E6585E">
        <w:rPr>
          <w:rFonts w:hint="cs"/>
          <w:rtl/>
        </w:rPr>
        <w:t>")</w:t>
      </w:r>
      <w:r w:rsidRPr="00C07D61">
        <w:rPr>
          <w:rFonts w:hint="cs"/>
          <w:rtl/>
        </w:rPr>
        <w:t>.</w:t>
      </w:r>
    </w:p>
  </w:footnote>
  <w:footnote w:id="150">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r w:rsidRPr="00C07D61">
        <w:rPr>
          <w:rtl/>
        </w:rPr>
        <w:t>בג</w:t>
      </w:r>
      <w:r w:rsidRPr="00C07D61">
        <w:rPr>
          <w:rFonts w:hint="cs"/>
          <w:rtl/>
        </w:rPr>
        <w:t>"</w:t>
      </w:r>
      <w:r w:rsidRPr="00C07D61">
        <w:rPr>
          <w:rtl/>
        </w:rPr>
        <w:t>ץ 113/84</w:t>
      </w:r>
      <w:r w:rsidRPr="00C07D61">
        <w:rPr>
          <w:rFonts w:hint="cs"/>
          <w:rtl/>
        </w:rPr>
        <w:t xml:space="preserve"> </w:t>
      </w:r>
      <w:proofErr w:type="spellStart"/>
      <w:r w:rsidRPr="00C07D61">
        <w:rPr>
          <w:b/>
          <w:bCs/>
          <w:rtl/>
        </w:rPr>
        <w:t>בנקובסקי</w:t>
      </w:r>
      <w:proofErr w:type="spellEnd"/>
      <w:r w:rsidRPr="00C07D61">
        <w:rPr>
          <w:b/>
          <w:bCs/>
          <w:rtl/>
        </w:rPr>
        <w:t xml:space="preserve"> נ' בית הדין הרבני האזורי בחיפה</w:t>
      </w:r>
      <w:r w:rsidRPr="00C07D61">
        <w:rPr>
          <w:rtl/>
        </w:rPr>
        <w:t xml:space="preserve">, </w:t>
      </w:r>
      <w:proofErr w:type="spellStart"/>
      <w:r w:rsidRPr="00C07D61">
        <w:rPr>
          <w:rtl/>
        </w:rPr>
        <w:t>פ''ד</w:t>
      </w:r>
      <w:proofErr w:type="spellEnd"/>
      <w:r w:rsidRPr="00C07D61">
        <w:rPr>
          <w:rtl/>
        </w:rPr>
        <w:t xml:space="preserve"> </w:t>
      </w:r>
      <w:proofErr w:type="spellStart"/>
      <w:r w:rsidRPr="00C07D61">
        <w:rPr>
          <w:rtl/>
        </w:rPr>
        <w:t>לט</w:t>
      </w:r>
      <w:proofErr w:type="spellEnd"/>
      <w:r w:rsidRPr="00C07D61">
        <w:rPr>
          <w:rtl/>
        </w:rPr>
        <w:t>(3) 365</w:t>
      </w:r>
      <w:r w:rsidRPr="00C07D61">
        <w:rPr>
          <w:rFonts w:hint="cs"/>
          <w:rtl/>
        </w:rPr>
        <w:t xml:space="preserve">, 378 (1985); </w:t>
      </w:r>
      <w:r w:rsidRPr="00C07D61">
        <w:rPr>
          <w:rtl/>
        </w:rPr>
        <w:t>בג</w:t>
      </w:r>
      <w:r w:rsidRPr="00C07D61">
        <w:rPr>
          <w:rFonts w:hint="cs"/>
          <w:rtl/>
        </w:rPr>
        <w:t>"</w:t>
      </w:r>
      <w:r w:rsidRPr="00C07D61">
        <w:rPr>
          <w:rtl/>
        </w:rPr>
        <w:t>ץ 170/87</w:t>
      </w:r>
      <w:r w:rsidRPr="00C07D61">
        <w:rPr>
          <w:rFonts w:hint="cs"/>
          <w:rtl/>
        </w:rPr>
        <w:t xml:space="preserve"> </w:t>
      </w:r>
      <w:r w:rsidRPr="00C07D61">
        <w:rPr>
          <w:b/>
          <w:bCs/>
          <w:rtl/>
        </w:rPr>
        <w:t xml:space="preserve">אסולין נ' ראש עיריית </w:t>
      </w:r>
      <w:proofErr w:type="spellStart"/>
      <w:r w:rsidRPr="00C07D61">
        <w:rPr>
          <w:b/>
          <w:bCs/>
          <w:rtl/>
        </w:rPr>
        <w:t>קרית</w:t>
      </w:r>
      <w:proofErr w:type="spellEnd"/>
      <w:r w:rsidRPr="00C07D61">
        <w:rPr>
          <w:b/>
          <w:bCs/>
          <w:rtl/>
        </w:rPr>
        <w:t xml:space="preserve"> גת</w:t>
      </w:r>
      <w:r w:rsidRPr="00C07D61">
        <w:rPr>
          <w:rFonts w:hint="cs"/>
          <w:rtl/>
        </w:rPr>
        <w:t xml:space="preserve">, </w:t>
      </w:r>
      <w:proofErr w:type="spellStart"/>
      <w:r w:rsidRPr="00C07D61">
        <w:rPr>
          <w:rtl/>
        </w:rPr>
        <w:t>פ''ד</w:t>
      </w:r>
      <w:proofErr w:type="spellEnd"/>
      <w:r w:rsidRPr="00C07D61">
        <w:rPr>
          <w:rtl/>
        </w:rPr>
        <w:t xml:space="preserve"> </w:t>
      </w:r>
      <w:proofErr w:type="spellStart"/>
      <w:r w:rsidRPr="00C07D61">
        <w:rPr>
          <w:rtl/>
        </w:rPr>
        <w:t>מב</w:t>
      </w:r>
      <w:proofErr w:type="spellEnd"/>
      <w:r w:rsidRPr="00C07D61">
        <w:rPr>
          <w:rtl/>
        </w:rPr>
        <w:t>(1) 678</w:t>
      </w:r>
      <w:r w:rsidRPr="00C07D61">
        <w:rPr>
          <w:rFonts w:hint="cs"/>
          <w:rtl/>
        </w:rPr>
        <w:t xml:space="preserve">, 685, 688 (1988); </w:t>
      </w:r>
      <w:r w:rsidRPr="00C07D61">
        <w:rPr>
          <w:rtl/>
        </w:rPr>
        <w:t xml:space="preserve">ע"א 4796/95 </w:t>
      </w:r>
      <w:proofErr w:type="spellStart"/>
      <w:r w:rsidRPr="00C07D61">
        <w:rPr>
          <w:b/>
          <w:bCs/>
          <w:rtl/>
        </w:rPr>
        <w:t>אלעוברה</w:t>
      </w:r>
      <w:proofErr w:type="spellEnd"/>
      <w:r w:rsidRPr="00C07D61">
        <w:rPr>
          <w:b/>
          <w:bCs/>
          <w:rtl/>
        </w:rPr>
        <w:t xml:space="preserve"> נ' </w:t>
      </w:r>
      <w:proofErr w:type="spellStart"/>
      <w:r w:rsidRPr="00C07D61">
        <w:rPr>
          <w:b/>
          <w:bCs/>
          <w:rtl/>
        </w:rPr>
        <w:t>אלעוברה</w:t>
      </w:r>
      <w:proofErr w:type="spellEnd"/>
      <w:r w:rsidRPr="00C07D61">
        <w:rPr>
          <w:rtl/>
        </w:rPr>
        <w:t xml:space="preserve">, </w:t>
      </w:r>
      <w:proofErr w:type="spellStart"/>
      <w:r w:rsidRPr="00C07D61">
        <w:rPr>
          <w:rtl/>
        </w:rPr>
        <w:t>פ''ד</w:t>
      </w:r>
      <w:proofErr w:type="spellEnd"/>
      <w:r w:rsidRPr="00C07D61">
        <w:rPr>
          <w:rtl/>
        </w:rPr>
        <w:t xml:space="preserve"> נא(2) 669</w:t>
      </w:r>
      <w:r w:rsidRPr="00C07D61">
        <w:rPr>
          <w:rFonts w:hint="cs"/>
          <w:rtl/>
        </w:rPr>
        <w:t>, 678 (1997);</w:t>
      </w:r>
      <w:r w:rsidRPr="00C07D61">
        <w:rPr>
          <w:rtl/>
        </w:rPr>
        <w:t xml:space="preserve"> בג"ץ 2117/99 </w:t>
      </w:r>
      <w:proofErr w:type="spellStart"/>
      <w:r w:rsidRPr="00C07D61">
        <w:rPr>
          <w:b/>
          <w:bCs/>
          <w:rtl/>
        </w:rPr>
        <w:t>מנסור</w:t>
      </w:r>
      <w:proofErr w:type="spellEnd"/>
      <w:r w:rsidRPr="00C07D61">
        <w:rPr>
          <w:b/>
          <w:bCs/>
          <w:rtl/>
        </w:rPr>
        <w:t xml:space="preserve"> נ' בית הדין השרעי </w:t>
      </w:r>
      <w:proofErr w:type="spellStart"/>
      <w:r w:rsidRPr="00C07D61">
        <w:rPr>
          <w:b/>
          <w:bCs/>
          <w:rtl/>
        </w:rPr>
        <w:t>לאיזור</w:t>
      </w:r>
      <w:proofErr w:type="spellEnd"/>
      <w:r w:rsidRPr="00C07D61">
        <w:rPr>
          <w:b/>
          <w:bCs/>
          <w:rtl/>
        </w:rPr>
        <w:t xml:space="preserve"> התיכון – טייבה</w:t>
      </w:r>
      <w:r w:rsidRPr="00C07D61">
        <w:rPr>
          <w:rtl/>
        </w:rPr>
        <w:t xml:space="preserve">, </w:t>
      </w:r>
      <w:proofErr w:type="spellStart"/>
      <w:r w:rsidRPr="00C07D61">
        <w:rPr>
          <w:rtl/>
        </w:rPr>
        <w:t>פ''ד</w:t>
      </w:r>
      <w:proofErr w:type="spellEnd"/>
      <w:r w:rsidRPr="00C07D61">
        <w:rPr>
          <w:rtl/>
        </w:rPr>
        <w:t xml:space="preserve"> נד(1) 211</w:t>
      </w:r>
      <w:r w:rsidRPr="00C07D61">
        <w:rPr>
          <w:rFonts w:hint="cs"/>
          <w:rtl/>
        </w:rPr>
        <w:t xml:space="preserve">, 214 (2000); </w:t>
      </w:r>
      <w:proofErr w:type="spellStart"/>
      <w:r w:rsidRPr="00C07D61">
        <w:rPr>
          <w:rtl/>
        </w:rPr>
        <w:t>דנג"ץ</w:t>
      </w:r>
      <w:proofErr w:type="spellEnd"/>
      <w:r w:rsidRPr="00C07D61">
        <w:rPr>
          <w:rtl/>
        </w:rPr>
        <w:t xml:space="preserve"> 4128/00 </w:t>
      </w:r>
      <w:r w:rsidRPr="00C07D61">
        <w:rPr>
          <w:b/>
          <w:bCs/>
          <w:rtl/>
        </w:rPr>
        <w:t>מנכ"ל משרד ראש-הממשלה נ' הופמן</w:t>
      </w:r>
      <w:r w:rsidRPr="00C07D61">
        <w:rPr>
          <w:rtl/>
        </w:rPr>
        <w:t xml:space="preserve">, </w:t>
      </w:r>
      <w:proofErr w:type="spellStart"/>
      <w:r w:rsidRPr="00C07D61">
        <w:rPr>
          <w:rtl/>
        </w:rPr>
        <w:t>פ''ד</w:t>
      </w:r>
      <w:proofErr w:type="spellEnd"/>
      <w:r w:rsidRPr="00C07D61">
        <w:rPr>
          <w:rtl/>
        </w:rPr>
        <w:t xml:space="preserve"> </w:t>
      </w:r>
      <w:proofErr w:type="spellStart"/>
      <w:r w:rsidRPr="00C07D61">
        <w:rPr>
          <w:rtl/>
        </w:rPr>
        <w:t>נז</w:t>
      </w:r>
      <w:proofErr w:type="spellEnd"/>
      <w:r w:rsidRPr="00C07D61">
        <w:rPr>
          <w:rtl/>
        </w:rPr>
        <w:t>(3) 289</w:t>
      </w:r>
      <w:r w:rsidRPr="00C07D61">
        <w:rPr>
          <w:rFonts w:hint="cs"/>
          <w:rtl/>
        </w:rPr>
        <w:t xml:space="preserve">, 331 (2003); </w:t>
      </w:r>
      <w:r w:rsidRPr="00C07D61">
        <w:rPr>
          <w:rtl/>
        </w:rPr>
        <w:t>ע</w:t>
      </w:r>
      <w:r w:rsidRPr="00C07D61">
        <w:rPr>
          <w:rFonts w:hint="cs"/>
          <w:rtl/>
        </w:rPr>
        <w:t>"</w:t>
      </w:r>
      <w:r w:rsidRPr="00C07D61">
        <w:rPr>
          <w:rtl/>
        </w:rPr>
        <w:t xml:space="preserve">א 4779/05 </w:t>
      </w:r>
      <w:r w:rsidRPr="00C07D61">
        <w:rPr>
          <w:b/>
          <w:bCs/>
          <w:rtl/>
        </w:rPr>
        <w:t>בנק דיסקונט למשכנתאות נ' בן דוד</w:t>
      </w:r>
      <w:r w:rsidRPr="00C07D61">
        <w:rPr>
          <w:rFonts w:hint="cs"/>
          <w:rtl/>
        </w:rPr>
        <w:t xml:space="preserve">, פסקה 7 (פורסם בנבו, 15.3.2007); </w:t>
      </w:r>
      <w:proofErr w:type="spellStart"/>
      <w:r w:rsidRPr="00206B54">
        <w:rPr>
          <w:rFonts w:hint="cs"/>
          <w:b/>
          <w:bCs/>
          <w:rtl/>
        </w:rPr>
        <w:t>זוסמן</w:t>
      </w:r>
      <w:proofErr w:type="spellEnd"/>
      <w:r w:rsidR="00206B54">
        <w:rPr>
          <w:rFonts w:hint="cs"/>
          <w:rtl/>
        </w:rPr>
        <w:t xml:space="preserve">, לעיל </w:t>
      </w:r>
      <w:proofErr w:type="spellStart"/>
      <w:r w:rsidR="00206B54">
        <w:rPr>
          <w:rFonts w:hint="cs"/>
          <w:rtl/>
        </w:rPr>
        <w:t>ה"ש</w:t>
      </w:r>
      <w:proofErr w:type="spellEnd"/>
      <w:r w:rsidR="00206B54">
        <w:rPr>
          <w:rFonts w:hint="cs"/>
          <w:rtl/>
        </w:rPr>
        <w:t xml:space="preserve"> </w:t>
      </w:r>
      <w:fldSimple w:instr=" NOTEREF _Ref373312255 \h  \* MERGEFORMAT ">
        <w:r w:rsidR="00DE2615">
          <w:t>143</w:t>
        </w:r>
      </w:fldSimple>
      <w:r w:rsidR="00206B54">
        <w:rPr>
          <w:rFonts w:hint="cs"/>
          <w:rtl/>
        </w:rPr>
        <w:t xml:space="preserve">, </w:t>
      </w:r>
      <w:proofErr w:type="spellStart"/>
      <w:r w:rsidR="00206B54">
        <w:rPr>
          <w:rFonts w:hint="cs"/>
          <w:rtl/>
        </w:rPr>
        <w:t>בעמ</w:t>
      </w:r>
      <w:proofErr w:type="spellEnd"/>
      <w:r w:rsidR="00206B54">
        <w:rPr>
          <w:rFonts w:hint="cs"/>
          <w:rtl/>
        </w:rPr>
        <w:t xml:space="preserve">' </w:t>
      </w:r>
      <w:r w:rsidRPr="00C07D61">
        <w:rPr>
          <w:rFonts w:hint="cs"/>
          <w:rtl/>
        </w:rPr>
        <w:t xml:space="preserve">819; נינה זלצמן </w:t>
      </w:r>
      <w:r w:rsidRPr="00C07D61">
        <w:rPr>
          <w:rFonts w:hint="cs"/>
          <w:b/>
          <w:bCs/>
          <w:rtl/>
        </w:rPr>
        <w:t>מעשה-בית-דין בהליך אזרחי</w:t>
      </w:r>
      <w:r w:rsidRPr="00C07D61">
        <w:rPr>
          <w:rFonts w:hint="cs"/>
          <w:rtl/>
        </w:rPr>
        <w:t xml:space="preserve"> 203 (1991).</w:t>
      </w:r>
    </w:p>
  </w:footnote>
  <w:footnote w:id="151">
    <w:p w:rsidR="009F0DE7" w:rsidRPr="00C07D61" w:rsidRDefault="009F0DE7" w:rsidP="00511BD0">
      <w:pPr>
        <w:pStyle w:val="FootnoteText"/>
        <w:spacing w:afterLines="40"/>
        <w:jc w:val="both"/>
      </w:pPr>
      <w:r w:rsidRPr="00C07D61">
        <w:rPr>
          <w:rStyle w:val="FootnoteReference"/>
        </w:rPr>
        <w:footnoteRef/>
      </w:r>
      <w:r w:rsidRPr="00C07D61">
        <w:rPr>
          <w:rtl/>
        </w:rPr>
        <w:t xml:space="preserve"> בג"ץ 9056/00 </w:t>
      </w:r>
      <w:r w:rsidRPr="00C07D61">
        <w:rPr>
          <w:b/>
          <w:bCs/>
          <w:rtl/>
        </w:rPr>
        <w:t>ח"כ מיכאל קליינר נ' יושב-ראש הכנסת</w:t>
      </w:r>
      <w:r w:rsidRPr="00C07D61">
        <w:rPr>
          <w:rtl/>
        </w:rPr>
        <w:t xml:space="preserve">, פ"ד </w:t>
      </w:r>
      <w:proofErr w:type="spellStart"/>
      <w:r w:rsidRPr="00C07D61">
        <w:rPr>
          <w:rtl/>
        </w:rPr>
        <w:t>נה</w:t>
      </w:r>
      <w:proofErr w:type="spellEnd"/>
      <w:r w:rsidRPr="00C07D61">
        <w:rPr>
          <w:rtl/>
        </w:rPr>
        <w:t>(4) 703, 707 (2001)</w:t>
      </w:r>
      <w:r w:rsidRPr="00C07D61">
        <w:rPr>
          <w:rFonts w:hint="cs"/>
          <w:rtl/>
        </w:rPr>
        <w:t xml:space="preserve">. </w:t>
      </w:r>
    </w:p>
  </w:footnote>
  <w:footnote w:id="152">
    <w:p w:rsidR="009F0DE7" w:rsidRPr="00C07D61" w:rsidRDefault="009F0DE7" w:rsidP="00511BD0">
      <w:pPr>
        <w:pStyle w:val="FootnoteText"/>
        <w:spacing w:afterLines="40"/>
        <w:jc w:val="both"/>
      </w:pPr>
      <w:r w:rsidRPr="00C07D61">
        <w:rPr>
          <w:rStyle w:val="FootnoteReference"/>
        </w:rPr>
        <w:footnoteRef/>
      </w:r>
      <w:r w:rsidRPr="00C07D61">
        <w:rPr>
          <w:rtl/>
        </w:rPr>
        <w:t xml:space="preserve"> ע</w:t>
      </w:r>
      <w:r w:rsidRPr="00C07D61">
        <w:rPr>
          <w:rFonts w:hint="cs"/>
          <w:rtl/>
        </w:rPr>
        <w:t>"</w:t>
      </w:r>
      <w:r w:rsidRPr="00C07D61">
        <w:rPr>
          <w:rtl/>
        </w:rPr>
        <w:t xml:space="preserve">א 300/84 </w:t>
      </w:r>
      <w:r w:rsidRPr="00C07D61">
        <w:rPr>
          <w:b/>
          <w:bCs/>
          <w:rtl/>
        </w:rPr>
        <w:t xml:space="preserve">אבו עטיה נ' </w:t>
      </w:r>
      <w:proofErr w:type="spellStart"/>
      <w:r w:rsidRPr="00C07D61">
        <w:rPr>
          <w:b/>
          <w:bCs/>
          <w:rtl/>
        </w:rPr>
        <w:t>ערבטיסי</w:t>
      </w:r>
      <w:proofErr w:type="spellEnd"/>
      <w:r w:rsidRPr="00C07D61">
        <w:rPr>
          <w:rtl/>
        </w:rPr>
        <w:t xml:space="preserve">, </w:t>
      </w:r>
      <w:proofErr w:type="spellStart"/>
      <w:r w:rsidRPr="00C07D61">
        <w:rPr>
          <w:rtl/>
        </w:rPr>
        <w:t>פ''ד</w:t>
      </w:r>
      <w:proofErr w:type="spellEnd"/>
      <w:r w:rsidRPr="00C07D61">
        <w:rPr>
          <w:rtl/>
        </w:rPr>
        <w:t xml:space="preserve"> </w:t>
      </w:r>
      <w:proofErr w:type="spellStart"/>
      <w:r w:rsidRPr="00C07D61">
        <w:rPr>
          <w:rtl/>
        </w:rPr>
        <w:t>לט</w:t>
      </w:r>
      <w:proofErr w:type="spellEnd"/>
      <w:r w:rsidRPr="00C07D61">
        <w:rPr>
          <w:rtl/>
        </w:rPr>
        <w:t>(1) 365</w:t>
      </w:r>
      <w:r w:rsidRPr="00C07D61">
        <w:rPr>
          <w:rFonts w:hint="cs"/>
          <w:rtl/>
        </w:rPr>
        <w:t>, 373 (1985).</w:t>
      </w:r>
    </w:p>
  </w:footnote>
  <w:footnote w:id="15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למשל </w:t>
      </w:r>
      <w:proofErr w:type="spellStart"/>
      <w:r w:rsidRPr="00C07D61">
        <w:rPr>
          <w:rtl/>
        </w:rPr>
        <w:t>עע</w:t>
      </w:r>
      <w:r w:rsidRPr="00C07D61">
        <w:rPr>
          <w:rFonts w:hint="cs"/>
          <w:rtl/>
        </w:rPr>
        <w:t>"</w:t>
      </w:r>
      <w:r w:rsidRPr="00C07D61">
        <w:rPr>
          <w:rtl/>
        </w:rPr>
        <w:t>מ</w:t>
      </w:r>
      <w:proofErr w:type="spellEnd"/>
      <w:r w:rsidRPr="00C07D61">
        <w:rPr>
          <w:rtl/>
        </w:rPr>
        <w:t xml:space="preserve"> 8380/07 </w:t>
      </w:r>
      <w:r w:rsidRPr="00C07D61">
        <w:rPr>
          <w:b/>
          <w:bCs/>
          <w:rtl/>
        </w:rPr>
        <w:t>עיריית חדרה נ' רכבת ישראל</w:t>
      </w:r>
      <w:r w:rsidRPr="00C07D61">
        <w:rPr>
          <w:rFonts w:hint="cs"/>
          <w:rtl/>
        </w:rPr>
        <w:t xml:space="preserve">, פס' 7-5 (16.2.2010, פורסם בנבו); </w:t>
      </w:r>
      <w:r w:rsidRPr="00C07D61">
        <w:rPr>
          <w:rtl/>
        </w:rPr>
        <w:t>רע</w:t>
      </w:r>
      <w:r w:rsidRPr="00C07D61">
        <w:rPr>
          <w:rFonts w:hint="cs"/>
          <w:rtl/>
        </w:rPr>
        <w:t>"</w:t>
      </w:r>
      <w:r w:rsidRPr="00C07D61">
        <w:rPr>
          <w:rtl/>
        </w:rPr>
        <w:t>א 5255/11 ‏</w:t>
      </w:r>
      <w:r w:rsidRPr="00C07D61">
        <w:rPr>
          <w:b/>
          <w:bCs/>
          <w:rtl/>
        </w:rPr>
        <w:t xml:space="preserve">עיריית </w:t>
      </w:r>
      <w:proofErr w:type="spellStart"/>
      <w:r w:rsidRPr="00C07D61">
        <w:rPr>
          <w:b/>
          <w:bCs/>
          <w:rtl/>
        </w:rPr>
        <w:t>הרצליה</w:t>
      </w:r>
      <w:proofErr w:type="spellEnd"/>
      <w:r w:rsidRPr="00C07D61">
        <w:rPr>
          <w:b/>
          <w:bCs/>
          <w:rtl/>
        </w:rPr>
        <w:t xml:space="preserve"> נ' כרם</w:t>
      </w:r>
      <w:r w:rsidRPr="00C07D61">
        <w:rPr>
          <w:rFonts w:hint="cs"/>
          <w:rtl/>
        </w:rPr>
        <w:t xml:space="preserve">, פס' 16 </w:t>
      </w:r>
      <w:r w:rsidRPr="00C07D61">
        <w:rPr>
          <w:rtl/>
        </w:rPr>
        <w:t>(</w:t>
      </w:r>
      <w:r w:rsidRPr="00C07D61">
        <w:rPr>
          <w:rFonts w:hint="cs"/>
          <w:rtl/>
        </w:rPr>
        <w:t xml:space="preserve">פורסם בנבו, </w:t>
      </w:r>
      <w:r w:rsidRPr="00C07D61">
        <w:rPr>
          <w:rtl/>
        </w:rPr>
        <w:t>11.6.2013</w:t>
      </w:r>
      <w:r w:rsidRPr="00C07D61">
        <w:rPr>
          <w:rFonts w:hint="cs"/>
          <w:rtl/>
        </w:rPr>
        <w:t xml:space="preserve">); ע"א </w:t>
      </w:r>
      <w:r w:rsidRPr="00C07D61">
        <w:rPr>
          <w:rFonts w:hint="cs"/>
          <w:b/>
          <w:bCs/>
          <w:rtl/>
        </w:rPr>
        <w:t>מחמד</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215 \h  \* MERGEFORMAT ">
        <w:r w:rsidR="00DE2615">
          <w:t>109</w:t>
        </w:r>
      </w:fldSimple>
      <w:r w:rsidRPr="00C07D61">
        <w:rPr>
          <w:rFonts w:hint="cs"/>
          <w:rtl/>
        </w:rPr>
        <w:t>, פס' 3.</w:t>
      </w:r>
    </w:p>
  </w:footnote>
  <w:footnote w:id="154">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לדיון מקיף המסכם את ההלכה, ראו </w:t>
      </w:r>
      <w:r w:rsidRPr="00C07D61">
        <w:rPr>
          <w:rtl/>
        </w:rPr>
        <w:t>ע</w:t>
      </w:r>
      <w:r w:rsidRPr="00C07D61">
        <w:rPr>
          <w:rFonts w:hint="cs"/>
          <w:rtl/>
        </w:rPr>
        <w:t>"</w:t>
      </w:r>
      <w:r w:rsidRPr="00C07D61">
        <w:rPr>
          <w:rtl/>
        </w:rPr>
        <w:t xml:space="preserve">א 11771/04 </w:t>
      </w:r>
      <w:r w:rsidRPr="00C07D61">
        <w:rPr>
          <w:b/>
          <w:bCs/>
          <w:rtl/>
        </w:rPr>
        <w:t>לשכת עורכי הדין בישראל נ' הארגון הבינלאומי של עורכי  דין ומשפטנים</w:t>
      </w:r>
      <w:r w:rsidRPr="00C07D61">
        <w:rPr>
          <w:rFonts w:hint="cs"/>
          <w:b/>
          <w:bCs/>
          <w:rtl/>
        </w:rPr>
        <w:t xml:space="preserve">, </w:t>
      </w:r>
      <w:r w:rsidRPr="00C07D61">
        <w:rPr>
          <w:rFonts w:hint="cs"/>
          <w:rtl/>
        </w:rPr>
        <w:t>פס' 21-19</w:t>
      </w:r>
      <w:r w:rsidRPr="00C07D61">
        <w:rPr>
          <w:rtl/>
        </w:rPr>
        <w:t xml:space="preserve"> (22.1.2007</w:t>
      </w:r>
      <w:r w:rsidRPr="00C07D61">
        <w:rPr>
          <w:rFonts w:hint="cs"/>
          <w:rtl/>
        </w:rPr>
        <w:t xml:space="preserve">, פורסם בנבו). </w:t>
      </w:r>
      <w:r w:rsidRPr="00C07D61">
        <w:rPr>
          <w:rFonts w:hint="cs"/>
          <w:rtl/>
        </w:rPr>
        <w:t xml:space="preserve">ראו גם </w:t>
      </w:r>
      <w:proofErr w:type="spellStart"/>
      <w:r w:rsidRPr="00C07D61">
        <w:rPr>
          <w:rFonts w:hint="cs"/>
          <w:b/>
          <w:bCs/>
          <w:rtl/>
        </w:rPr>
        <w:t>זוסמן</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255 \h  \* MERGEFORMAT ">
        <w:r w:rsidR="00DE2615">
          <w:t>143</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333. </w:t>
      </w:r>
    </w:p>
  </w:footnote>
  <w:footnote w:id="155">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יצוין שלסמכות בית המשפט לפעול מיוזמתו בענייני סף מהותיים יש גם עיגון במשפט הדיוני, לפחות בכל הנוגע לשלב של קדם-המשפט בהליך האזרחי. ראו תקנה 144 לתקנות סדר הדין האזרחי, התשמ"ד-1984, המסמיכה את בית המשפט להחליט במגוון עניינים </w:t>
      </w:r>
      <w:r w:rsidRPr="00C07D61">
        <w:rPr>
          <w:rtl/>
        </w:rPr>
        <w:t>–</w:t>
      </w:r>
      <w:r w:rsidRPr="00C07D61">
        <w:rPr>
          <w:rFonts w:hint="cs"/>
          <w:rtl/>
        </w:rPr>
        <w:t xml:space="preserve"> כולל סילוק על הסף של תביעה וקבלת תביעה באין הגנה לנתבע </w:t>
      </w:r>
      <w:r w:rsidRPr="00C07D61">
        <w:rPr>
          <w:rtl/>
        </w:rPr>
        <w:t>–</w:t>
      </w:r>
      <w:r w:rsidRPr="00C07D61">
        <w:rPr>
          <w:rFonts w:hint="cs"/>
          <w:rtl/>
        </w:rPr>
        <w:t xml:space="preserve"> "ללא צורך בבקשת בעל דין". </w:t>
      </w:r>
    </w:p>
  </w:footnote>
  <w:footnote w:id="156">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ס' 1 ל</w:t>
      </w:r>
      <w:r w:rsidRPr="00C07D61">
        <w:rPr>
          <w:rtl/>
        </w:rPr>
        <w:t>פקודת סדרי הדין (התייצבות היועץ המשפטי לממשלה) [נוסח חדש]</w:t>
      </w:r>
      <w:r w:rsidRPr="00C07D61">
        <w:rPr>
          <w:rFonts w:hint="cs"/>
          <w:rtl/>
        </w:rPr>
        <w:t xml:space="preserve">. </w:t>
      </w:r>
    </w:p>
  </w:footnote>
  <w:footnote w:id="157">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ראו </w:t>
      </w:r>
      <w:r w:rsidRPr="00C07D61">
        <w:rPr>
          <w:rtl/>
        </w:rPr>
        <w:t xml:space="preserve">בג"ץ 1715/97 </w:t>
      </w:r>
      <w:r w:rsidRPr="00C07D61">
        <w:rPr>
          <w:b/>
          <w:bCs/>
          <w:rtl/>
        </w:rPr>
        <w:t>לשכת מנהלי ההשקעות בישראל נ' שר האוצר</w:t>
      </w:r>
      <w:r w:rsidRPr="00C07D61">
        <w:rPr>
          <w:rtl/>
        </w:rPr>
        <w:t xml:space="preserve">, </w:t>
      </w:r>
      <w:proofErr w:type="spellStart"/>
      <w:r w:rsidRPr="00C07D61">
        <w:rPr>
          <w:rtl/>
        </w:rPr>
        <w:t>פ''ד</w:t>
      </w:r>
      <w:proofErr w:type="spellEnd"/>
      <w:r w:rsidRPr="00C07D61">
        <w:rPr>
          <w:rtl/>
        </w:rPr>
        <w:t xml:space="preserve"> נא(4) 367</w:t>
      </w:r>
      <w:r w:rsidRPr="00C07D61">
        <w:rPr>
          <w:rFonts w:hint="cs"/>
          <w:rtl/>
        </w:rPr>
        <w:t>, 381-380 ("</w:t>
      </w:r>
      <w:r w:rsidRPr="00C07D61">
        <w:rPr>
          <w:rtl/>
        </w:rPr>
        <w:t xml:space="preserve">לכל </w:t>
      </w:r>
      <w:r w:rsidRPr="00C07D61">
        <w:rPr>
          <w:rFonts w:hint="cs"/>
          <w:rtl/>
        </w:rPr>
        <w:t xml:space="preserve">[הליך שבו </w:t>
      </w:r>
      <w:r w:rsidRPr="00C07D61">
        <w:rPr>
          <w:rtl/>
        </w:rPr>
        <w:t>נדונה חוקתיותו של חוק שחוקק על-ידי הכנסת</w:t>
      </w:r>
      <w:r w:rsidRPr="00C07D61">
        <w:rPr>
          <w:rFonts w:hint="cs"/>
          <w:rtl/>
        </w:rPr>
        <w:t xml:space="preserve">] </w:t>
      </w:r>
      <w:r w:rsidRPr="00C07D61">
        <w:rPr>
          <w:rtl/>
        </w:rPr>
        <w:t>יש להזמין את היועץ המשפטי לממשלה</w:t>
      </w:r>
      <w:r w:rsidRPr="00C07D61">
        <w:rPr>
          <w:rFonts w:hint="cs"/>
          <w:rtl/>
        </w:rPr>
        <w:t>").</w:t>
      </w:r>
    </w:p>
  </w:footnote>
  <w:footnote w:id="158">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 xml:space="preserve">חוק הכנסת (תיקון מס' 23), התשס"ח-2008, </w:t>
      </w:r>
      <w:r w:rsidRPr="00C07D61">
        <w:rPr>
          <w:rFonts w:hint="cs"/>
          <w:b/>
          <w:bCs/>
          <w:rtl/>
        </w:rPr>
        <w:t>ס"ח</w:t>
      </w:r>
      <w:r w:rsidRPr="00C07D61">
        <w:rPr>
          <w:rFonts w:hint="cs"/>
          <w:rtl/>
        </w:rPr>
        <w:t xml:space="preserve"> 2134 עמ' 205. </w:t>
      </w:r>
    </w:p>
  </w:footnote>
  <w:footnote w:id="159">
    <w:p w:rsidR="009F0DE7" w:rsidRPr="00C07D61" w:rsidRDefault="009F0DE7" w:rsidP="00511BD0">
      <w:pPr>
        <w:pStyle w:val="FootnoteText"/>
        <w:spacing w:afterLines="40"/>
        <w:jc w:val="both"/>
      </w:pPr>
      <w:r w:rsidRPr="00C07D61">
        <w:rPr>
          <w:rStyle w:val="FootnoteReference"/>
        </w:rPr>
        <w:footnoteRef/>
      </w:r>
      <w:r w:rsidRPr="00C07D61">
        <w:rPr>
          <w:rtl/>
        </w:rPr>
        <w:t xml:space="preserve"> הצעת חוק הכנסת (תיקון מס</w:t>
      </w:r>
      <w:r w:rsidRPr="00C07D61">
        <w:rPr>
          <w:rFonts w:hint="cs"/>
          <w:rtl/>
        </w:rPr>
        <w:t xml:space="preserve">' </w:t>
      </w:r>
      <w:r w:rsidRPr="00C07D61">
        <w:rPr>
          <w:rtl/>
        </w:rPr>
        <w:t xml:space="preserve">25) (התייצבות בהליך בעניין תוקפו של חוק), </w:t>
      </w:r>
      <w:proofErr w:type="spellStart"/>
      <w:r w:rsidRPr="00C07D61">
        <w:rPr>
          <w:rtl/>
        </w:rPr>
        <w:t>התשס״ח</w:t>
      </w:r>
      <w:proofErr w:type="spellEnd"/>
      <w:r w:rsidRPr="00C07D61">
        <w:rPr>
          <w:rtl/>
        </w:rPr>
        <w:t>-2008</w:t>
      </w:r>
      <w:r w:rsidRPr="00C07D61">
        <w:rPr>
          <w:rFonts w:hint="cs"/>
          <w:rtl/>
        </w:rPr>
        <w:t xml:space="preserve">, </w:t>
      </w:r>
      <w:proofErr w:type="spellStart"/>
      <w:r w:rsidRPr="00C07D61">
        <w:rPr>
          <w:rFonts w:hint="cs"/>
          <w:b/>
          <w:bCs/>
          <w:rtl/>
        </w:rPr>
        <w:t>ה"ח</w:t>
      </w:r>
      <w:proofErr w:type="spellEnd"/>
      <w:r w:rsidRPr="00C07D61">
        <w:rPr>
          <w:rFonts w:hint="cs"/>
          <w:b/>
          <w:bCs/>
          <w:rtl/>
        </w:rPr>
        <w:t xml:space="preserve"> הכנסת</w:t>
      </w:r>
      <w:r w:rsidRPr="00C07D61">
        <w:rPr>
          <w:rFonts w:hint="cs"/>
          <w:rtl/>
        </w:rPr>
        <w:t xml:space="preserve"> 194 </w:t>
      </w:r>
      <w:proofErr w:type="spellStart"/>
      <w:r w:rsidRPr="00C07D61">
        <w:rPr>
          <w:rFonts w:hint="cs"/>
          <w:rtl/>
        </w:rPr>
        <w:t>עמ</w:t>
      </w:r>
      <w:proofErr w:type="spellEnd"/>
      <w:r w:rsidRPr="00C07D61">
        <w:rPr>
          <w:rFonts w:hint="cs"/>
          <w:rtl/>
        </w:rPr>
        <w:t>' 103.</w:t>
      </w:r>
    </w:p>
  </w:footnote>
  <w:footnote w:id="160">
    <w:p w:rsidR="009F0DE7" w:rsidRPr="00C07D61" w:rsidRDefault="009F0DE7" w:rsidP="00511BD0">
      <w:pPr>
        <w:pStyle w:val="FootnoteText"/>
        <w:spacing w:afterLines="40"/>
        <w:jc w:val="both"/>
        <w:rPr>
          <w:rtl/>
        </w:rPr>
      </w:pPr>
      <w:r w:rsidRPr="00C07D61">
        <w:rPr>
          <w:rStyle w:val="FootnoteReference"/>
        </w:rPr>
        <w:footnoteRef/>
      </w:r>
      <w:r w:rsidRPr="00C07D61">
        <w:rPr>
          <w:rtl/>
        </w:rPr>
        <w:t xml:space="preserve"> </w:t>
      </w:r>
      <w:r w:rsidRPr="00C07D61">
        <w:rPr>
          <w:rFonts w:hint="cs"/>
          <w:rtl/>
        </w:rPr>
        <w:t>מיכאל איתן "</w:t>
      </w:r>
      <w:r w:rsidRPr="00C07D61">
        <w:rPr>
          <w:rtl/>
        </w:rPr>
        <w:t>מעמדה של ה</w:t>
      </w:r>
      <w:r w:rsidRPr="00C07D61">
        <w:rPr>
          <w:rFonts w:hint="cs"/>
          <w:rtl/>
        </w:rPr>
        <w:t>כ</w:t>
      </w:r>
      <w:r w:rsidRPr="00C07D61">
        <w:rPr>
          <w:rtl/>
        </w:rPr>
        <w:t>נסת בעתידות לפסילת חוקים</w:t>
      </w:r>
      <w:r w:rsidRPr="00C07D61">
        <w:rPr>
          <w:rFonts w:hint="cs"/>
          <w:rtl/>
        </w:rPr>
        <w:t xml:space="preserve">: </w:t>
      </w:r>
      <w:r w:rsidRPr="00C07D61">
        <w:rPr>
          <w:rtl/>
        </w:rPr>
        <w:t xml:space="preserve">בעקבות בג׳׳ץ 8276/05 </w:t>
      </w:r>
      <w:proofErr w:type="spellStart"/>
      <w:r w:rsidRPr="00C07D61">
        <w:rPr>
          <w:rtl/>
        </w:rPr>
        <w:t>עדאלה</w:t>
      </w:r>
      <w:proofErr w:type="spellEnd"/>
      <w:r w:rsidRPr="00C07D61">
        <w:rPr>
          <w:rtl/>
        </w:rPr>
        <w:t xml:space="preserve"> נ׳ ש</w:t>
      </w:r>
      <w:r w:rsidRPr="00C07D61">
        <w:rPr>
          <w:rFonts w:hint="cs"/>
          <w:rtl/>
        </w:rPr>
        <w:t>ר</w:t>
      </w:r>
      <w:r w:rsidRPr="00C07D61">
        <w:rPr>
          <w:rtl/>
        </w:rPr>
        <w:t xml:space="preserve"> הביטחון</w:t>
      </w:r>
      <w:r w:rsidRPr="00C07D61">
        <w:rPr>
          <w:rFonts w:hint="cs"/>
          <w:rtl/>
        </w:rPr>
        <w:t xml:space="preserve">" </w:t>
      </w:r>
      <w:r w:rsidRPr="00C07D61">
        <w:rPr>
          <w:rFonts w:hint="cs"/>
          <w:b/>
          <w:bCs/>
          <w:rtl/>
        </w:rPr>
        <w:t>הארת דין</w:t>
      </w:r>
      <w:r w:rsidRPr="00C07D61">
        <w:rPr>
          <w:rFonts w:hint="cs"/>
          <w:rtl/>
        </w:rPr>
        <w:t xml:space="preserve"> ד(1) 91 (תשס"ז). </w:t>
      </w:r>
    </w:p>
  </w:footnote>
  <w:footnote w:id="161">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w:t>
      </w:r>
      <w:r w:rsidRPr="00C07D61">
        <w:rPr>
          <w:rtl/>
        </w:rPr>
        <w:t>בג</w:t>
      </w:r>
      <w:r w:rsidRPr="00C07D61">
        <w:rPr>
          <w:rFonts w:hint="cs"/>
          <w:rtl/>
        </w:rPr>
        <w:t>"</w:t>
      </w:r>
      <w:r w:rsidRPr="00C07D61">
        <w:rPr>
          <w:rtl/>
        </w:rPr>
        <w:t xml:space="preserve">ץ 4550/13 </w:t>
      </w:r>
      <w:r w:rsidRPr="00C07D61">
        <w:rPr>
          <w:b/>
          <w:bCs/>
          <w:rtl/>
        </w:rPr>
        <w:t>בהט נ' שרת הבריאות</w:t>
      </w:r>
      <w:r w:rsidRPr="00C07D61">
        <w:rPr>
          <w:rFonts w:hint="cs"/>
          <w:rtl/>
        </w:rPr>
        <w:t xml:space="preserve">, פס' 22 (פורסם בנבו, 6.10.2013). </w:t>
      </w:r>
    </w:p>
  </w:footnote>
  <w:footnote w:id="162">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ברוח זו </w:t>
      </w:r>
      <w:r w:rsidRPr="00C07D61">
        <w:rPr>
          <w:rtl/>
        </w:rPr>
        <w:t>בג</w:t>
      </w:r>
      <w:r w:rsidRPr="00C07D61">
        <w:rPr>
          <w:rFonts w:hint="cs"/>
          <w:rtl/>
        </w:rPr>
        <w:t>"</w:t>
      </w:r>
      <w:r w:rsidRPr="00C07D61">
        <w:rPr>
          <w:rtl/>
        </w:rPr>
        <w:t>ץ 4855/13</w:t>
      </w:r>
      <w:r w:rsidRPr="00C07D61">
        <w:rPr>
          <w:rFonts w:hint="cs"/>
          <w:rtl/>
        </w:rPr>
        <w:t xml:space="preserve"> </w:t>
      </w:r>
      <w:r w:rsidRPr="00C07D61">
        <w:rPr>
          <w:b/>
          <w:bCs/>
          <w:rtl/>
        </w:rPr>
        <w:t>חזן נ' הרשות השנייה לטלוויזיה ולרדיו</w:t>
      </w:r>
      <w:r w:rsidRPr="00C07D61">
        <w:rPr>
          <w:rFonts w:hint="cs"/>
          <w:rtl/>
        </w:rPr>
        <w:t xml:space="preserve">, פס' 3 (פורסם בנבו, 7.8.2013). מנגד, לפחות חלק משופטי בית המשפט העליון נוהגים להורות מיוזמתם על צירוף הכנסת כמשיבה בעתירות חוקתיות ישירות מכוח סעיף 17(ג1), אף אם העותר לא עשה זאת. ראו למשל </w:t>
      </w:r>
      <w:r w:rsidRPr="00C07D61">
        <w:rPr>
          <w:rtl/>
        </w:rPr>
        <w:t>בג</w:t>
      </w:r>
      <w:r w:rsidRPr="00C07D61">
        <w:rPr>
          <w:rFonts w:hint="cs"/>
          <w:rtl/>
        </w:rPr>
        <w:t>"</w:t>
      </w:r>
      <w:r w:rsidRPr="00C07D61">
        <w:rPr>
          <w:rtl/>
        </w:rPr>
        <w:t xml:space="preserve">ץ 7626/12 </w:t>
      </w:r>
      <w:r w:rsidRPr="00C07D61">
        <w:rPr>
          <w:b/>
          <w:bCs/>
          <w:rtl/>
        </w:rPr>
        <w:t>איגוד לשכת המסחר נ' היועץ המשפטי לממשלה</w:t>
      </w:r>
      <w:r w:rsidRPr="00C07D61">
        <w:rPr>
          <w:rFonts w:hint="cs"/>
          <w:rtl/>
        </w:rPr>
        <w:t xml:space="preserve"> (פורסם בנבו, החלטה מיום 22.10.2012); </w:t>
      </w:r>
      <w:r w:rsidRPr="00C07D61">
        <w:rPr>
          <w:rtl/>
        </w:rPr>
        <w:t>בג</w:t>
      </w:r>
      <w:r w:rsidRPr="00C07D61">
        <w:rPr>
          <w:rFonts w:hint="cs"/>
          <w:rtl/>
        </w:rPr>
        <w:t>"</w:t>
      </w:r>
      <w:r w:rsidRPr="00C07D61">
        <w:rPr>
          <w:rtl/>
        </w:rPr>
        <w:t>ץ 4511/12</w:t>
      </w:r>
      <w:r w:rsidRPr="00C07D61">
        <w:rPr>
          <w:rFonts w:hint="cs"/>
          <w:rtl/>
        </w:rPr>
        <w:t xml:space="preserve"> </w:t>
      </w:r>
      <w:proofErr w:type="spellStart"/>
      <w:r w:rsidRPr="00C07D61">
        <w:rPr>
          <w:b/>
          <w:bCs/>
          <w:rtl/>
        </w:rPr>
        <w:t>גמליאלי</w:t>
      </w:r>
      <w:proofErr w:type="spellEnd"/>
      <w:r w:rsidRPr="00C07D61">
        <w:rPr>
          <w:b/>
          <w:bCs/>
          <w:rtl/>
        </w:rPr>
        <w:t xml:space="preserve"> נ' הנהלת  הביטוח הלאומי</w:t>
      </w:r>
      <w:r w:rsidRPr="00C07D61">
        <w:rPr>
          <w:rtl/>
        </w:rPr>
        <w:t>‏</w:t>
      </w:r>
      <w:r w:rsidRPr="00C07D61">
        <w:rPr>
          <w:rFonts w:hint="cs"/>
          <w:rtl/>
        </w:rPr>
        <w:t xml:space="preserve"> (פורסם בנבו, החלטה מיום 4.11.2012).</w:t>
      </w:r>
    </w:p>
  </w:footnote>
  <w:footnote w:id="163">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ראו בג"ץ חזן, לעיל </w:t>
      </w:r>
      <w:proofErr w:type="spellStart"/>
      <w:r w:rsidRPr="00C07D61">
        <w:rPr>
          <w:rFonts w:hint="cs"/>
          <w:rtl/>
        </w:rPr>
        <w:t>ה"ש</w:t>
      </w:r>
      <w:proofErr w:type="spellEnd"/>
      <w:r w:rsidRPr="00C07D61">
        <w:rPr>
          <w:rFonts w:hint="cs"/>
          <w:rtl/>
        </w:rPr>
        <w:t xml:space="preserve"> </w:t>
      </w:r>
      <w:fldSimple w:instr=" NOTEREF _Ref373312301 \h  \* MERGEFORMAT ">
        <w:r w:rsidR="00DE2615">
          <w:t>161</w:t>
        </w:r>
      </w:fldSimple>
      <w:r w:rsidRPr="00C07D61">
        <w:rPr>
          <w:rFonts w:hint="cs"/>
          <w:rtl/>
        </w:rPr>
        <w:t xml:space="preserve">. </w:t>
      </w:r>
      <w:r w:rsidRPr="00C07D61">
        <w:rPr>
          <w:rFonts w:hint="cs"/>
          <w:sz w:val="24"/>
          <w:rtl/>
        </w:rPr>
        <w:t xml:space="preserve">בתביעה אזרחית אפשר אולי להשתמש בהודעה לצד שלישי כאמצעי של הנתבע להוספת הכנסת להליך </w:t>
      </w:r>
      <w:r w:rsidRPr="00C07D61">
        <w:rPr>
          <w:sz w:val="24"/>
          <w:rtl/>
        </w:rPr>
        <w:t>–</w:t>
      </w:r>
      <w:r w:rsidRPr="00C07D61">
        <w:rPr>
          <w:rFonts w:hint="cs"/>
          <w:sz w:val="24"/>
          <w:rtl/>
        </w:rPr>
        <w:t xml:space="preserve"> כביכול, אם הנתבע חב כלפי התובע אזי חבותו נובעת מהחוק הלא חוקתי שהכנסת חוקקה. אך זו תהיה התפלפלות דיונית מיותרת, ונראה שדרך המלך היא הוספת בעל דין שנוכחותו דרושה "כדי לאפשר לבית המשפט לפסוק ולהכריע ביעילות ובשלמות בכל השאלות הכרוכות בתובענה" </w:t>
      </w:r>
      <w:r w:rsidRPr="00C07D61">
        <w:rPr>
          <w:sz w:val="24"/>
          <w:rtl/>
        </w:rPr>
        <w:t>–</w:t>
      </w:r>
      <w:r w:rsidRPr="00C07D61">
        <w:rPr>
          <w:rFonts w:hint="cs"/>
          <w:sz w:val="24"/>
          <w:rtl/>
        </w:rPr>
        <w:t xml:space="preserve">  סמכות שנתונה בידי בית המשפט ואינה מחייבת בקשה יזומה של מי מבעלי הדין (תקנה 24 לתקנות סדר הדין האזרחי, התשמ"ד-1984). </w:t>
      </w:r>
    </w:p>
  </w:footnote>
  <w:footnote w:id="164">
    <w:p w:rsidR="009F0DE7" w:rsidRPr="00C07D61" w:rsidRDefault="009F0DE7" w:rsidP="00511BD0">
      <w:pPr>
        <w:pStyle w:val="FootnoteText"/>
        <w:spacing w:after="40"/>
        <w:jc w:val="both"/>
      </w:pPr>
      <w:r w:rsidRPr="00C07D61">
        <w:rPr>
          <w:rStyle w:val="FootnoteReference"/>
        </w:rPr>
        <w:footnoteRef/>
      </w:r>
      <w:r w:rsidRPr="00C07D61">
        <w:rPr>
          <w:rtl/>
        </w:rPr>
        <w:t xml:space="preserve"> </w:t>
      </w:r>
      <w:r w:rsidRPr="00C07D61">
        <w:rPr>
          <w:rFonts w:hint="cs"/>
          <w:rtl/>
        </w:rPr>
        <w:t xml:space="preserve">ראו למשל ההחלטות בעניין </w:t>
      </w:r>
      <w:r w:rsidRPr="00C07D61">
        <w:rPr>
          <w:rFonts w:hint="cs"/>
          <w:b/>
          <w:bCs/>
          <w:rtl/>
        </w:rPr>
        <w:t>אברג'יל</w:t>
      </w:r>
      <w:r w:rsidRPr="00C07D61">
        <w:rPr>
          <w:rFonts w:hint="cs"/>
          <w:rtl/>
        </w:rPr>
        <w:t xml:space="preserve">, </w:t>
      </w:r>
      <w:r w:rsidRPr="00C07D61">
        <w:rPr>
          <w:rFonts w:hint="cs"/>
          <w:b/>
          <w:bCs/>
          <w:rtl/>
        </w:rPr>
        <w:t>ברקאי</w:t>
      </w:r>
      <w:r w:rsidRPr="00C07D61">
        <w:rPr>
          <w:rFonts w:hint="cs"/>
          <w:rtl/>
        </w:rPr>
        <w:t xml:space="preserve"> </w:t>
      </w:r>
      <w:proofErr w:type="spellStart"/>
      <w:r w:rsidRPr="00C07D61">
        <w:rPr>
          <w:rFonts w:hint="cs"/>
          <w:rtl/>
        </w:rPr>
        <w:t>ו</w:t>
      </w:r>
      <w:r w:rsidRPr="00C07D61">
        <w:rPr>
          <w:rFonts w:hint="cs"/>
          <w:b/>
          <w:bCs/>
          <w:rtl/>
        </w:rPr>
        <w:t>טהנגס</w:t>
      </w:r>
      <w:proofErr w:type="spellEnd"/>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01 \h  \* MERGEFORMAT ">
        <w:r w:rsidR="00DE2615">
          <w:t>26</w:t>
        </w:r>
      </w:fldSimple>
      <w:r w:rsidRPr="00C07D61">
        <w:rPr>
          <w:rFonts w:hint="cs"/>
          <w:rtl/>
        </w:rPr>
        <w:t xml:space="preserve">; </w:t>
      </w:r>
      <w:proofErr w:type="spellStart"/>
      <w:r w:rsidRPr="00C07D61">
        <w:rPr>
          <w:rFonts w:hint="cs"/>
          <w:b/>
          <w:bCs/>
          <w:rtl/>
        </w:rPr>
        <w:t>נייסשלוס</w:t>
      </w:r>
      <w:proofErr w:type="spellEnd"/>
      <w:r w:rsidRPr="00C07D61">
        <w:rPr>
          <w:rFonts w:hint="cs"/>
          <w:rtl/>
        </w:rPr>
        <w:t xml:space="preserve"> ו</w:t>
      </w:r>
      <w:r w:rsidRPr="00C07D61">
        <w:rPr>
          <w:rFonts w:hint="cs"/>
          <w:b/>
          <w:bCs/>
          <w:rtl/>
        </w:rPr>
        <w:t>כרמון</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350 \h  \* MERGEFORMAT ">
        <w:r w:rsidR="00DE2615">
          <w:t>28</w:t>
        </w:r>
      </w:fldSimple>
      <w:r w:rsidRPr="00C07D61">
        <w:rPr>
          <w:rFonts w:hint="cs"/>
          <w:rtl/>
        </w:rPr>
        <w:t xml:space="preserve">; </w:t>
      </w:r>
      <w:proofErr w:type="spellStart"/>
      <w:r w:rsidRPr="00C07D61">
        <w:rPr>
          <w:rFonts w:hint="cs"/>
          <w:b/>
          <w:bCs/>
          <w:rtl/>
        </w:rPr>
        <w:t>ידיניק</w:t>
      </w:r>
      <w:proofErr w:type="spellEnd"/>
      <w:r w:rsidRPr="00C07D61">
        <w:rPr>
          <w:rFonts w:hint="cs"/>
          <w:rtl/>
        </w:rPr>
        <w:t xml:space="preserve"> ו</w:t>
      </w:r>
      <w:r w:rsidRPr="00C07D61">
        <w:rPr>
          <w:rFonts w:hint="cs"/>
          <w:b/>
          <w:bCs/>
          <w:rtl/>
        </w:rPr>
        <w:t>אדרי</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65893783 \h  \* MERGEFORMAT ">
        <w:r w:rsidR="00DE2615">
          <w:t>31</w:t>
        </w:r>
      </w:fldSimple>
      <w:r w:rsidRPr="00C07D61">
        <w:rPr>
          <w:rFonts w:hint="cs"/>
          <w:rtl/>
        </w:rPr>
        <w:t xml:space="preserve">. </w:t>
      </w:r>
    </w:p>
  </w:footnote>
  <w:footnote w:id="165">
    <w:p w:rsidR="009F0DE7" w:rsidRPr="00C07D61" w:rsidRDefault="009F0DE7" w:rsidP="00511BD0">
      <w:pPr>
        <w:pStyle w:val="FootnoteText"/>
        <w:spacing w:after="40"/>
        <w:jc w:val="both"/>
      </w:pPr>
      <w:r w:rsidRPr="00C07D61">
        <w:rPr>
          <w:rStyle w:val="FootnoteReference"/>
        </w:rPr>
        <w:footnoteRef/>
      </w:r>
      <w:r w:rsidRPr="00C07D61">
        <w:rPr>
          <w:rtl/>
        </w:rPr>
        <w:t xml:space="preserve"> </w:t>
      </w:r>
      <w:r w:rsidRPr="00C07D61">
        <w:rPr>
          <w:rFonts w:hint="cs"/>
          <w:rtl/>
        </w:rPr>
        <w:t xml:space="preserve">משיחה עם עו"ד ד"ר גור בליי, האחראי על עתירות חוקתיות בלשכת היועץ המשפטי לכנסת, 18.11.2013. </w:t>
      </w:r>
    </w:p>
  </w:footnote>
  <w:footnote w:id="166">
    <w:p w:rsidR="009F0DE7" w:rsidRPr="00C07D61" w:rsidRDefault="009F0DE7" w:rsidP="00511BD0">
      <w:pPr>
        <w:pStyle w:val="FootnoteText"/>
        <w:spacing w:afterLines="40"/>
        <w:jc w:val="both"/>
      </w:pPr>
      <w:r w:rsidRPr="00C07D61">
        <w:rPr>
          <w:rStyle w:val="FootnoteReference"/>
        </w:rPr>
        <w:footnoteRef/>
      </w:r>
      <w:r w:rsidRPr="00C07D61">
        <w:rPr>
          <w:rtl/>
        </w:rPr>
        <w:t xml:space="preserve"> </w:t>
      </w:r>
      <w:r w:rsidRPr="00C07D61">
        <w:rPr>
          <w:rFonts w:hint="cs"/>
          <w:rtl/>
        </w:rPr>
        <w:t xml:space="preserve">קושי זה עלה בדיוני ועדת הכנסת שהכינה את הצעת החוק לקריאה שניה ושלישית, והוא הביא לתיקון מסוים של הניסוח, כך שחובת ההזמנה של הכנסת חלה רק כאשר בית המשפט "נדרש לברר" את השאלה החוקתית, כלומר לא בכל מקרה בו מועלית טענה חוקתית. ראו הכנסת השבע-עשרה, פרוטוקול מס' 204 מישיבת ועדת הכנסת מיום 4.2.2008, עמ' 6 (דברי ח"כ מיכאל איתן ומזכיר הכנסת). </w:t>
      </w:r>
      <w:r w:rsidRPr="00C07D61">
        <w:rPr>
          <w:rFonts w:hint="cs"/>
          <w:rtl/>
        </w:rPr>
        <w:t xml:space="preserve">כן ראו </w:t>
      </w:r>
      <w:r w:rsidRPr="00C07D61">
        <w:rPr>
          <w:rFonts w:hint="cs"/>
          <w:b/>
          <w:bCs/>
          <w:rtl/>
        </w:rPr>
        <w:t>מרזל</w:t>
      </w:r>
      <w:r w:rsidRPr="00C07D61">
        <w:rPr>
          <w:rFonts w:hint="cs"/>
          <w:rtl/>
        </w:rPr>
        <w:t xml:space="preserve">, לעיל </w:t>
      </w:r>
      <w:proofErr w:type="spellStart"/>
      <w:r w:rsidRPr="00C07D61">
        <w:rPr>
          <w:rFonts w:hint="cs"/>
          <w:rtl/>
        </w:rPr>
        <w:t>ה"ש</w:t>
      </w:r>
      <w:proofErr w:type="spellEnd"/>
      <w:r w:rsidRPr="00C07D61">
        <w:rPr>
          <w:rFonts w:hint="cs"/>
          <w:rtl/>
        </w:rPr>
        <w:t xml:space="preserve"> </w:t>
      </w:r>
      <w:fldSimple w:instr=" NOTEREF _Ref373312378 \h  \* MERGEFORMAT ">
        <w:r w:rsidR="00DE2615">
          <w:t>47</w:t>
        </w:r>
      </w:fldSimple>
      <w:r w:rsidRPr="00C07D61">
        <w:rPr>
          <w:rFonts w:hint="cs"/>
          <w:rtl/>
        </w:rPr>
        <w:t xml:space="preserve">, </w:t>
      </w:r>
      <w:proofErr w:type="spellStart"/>
      <w:r w:rsidRPr="00C07D61">
        <w:rPr>
          <w:rFonts w:hint="cs"/>
          <w:rtl/>
        </w:rPr>
        <w:t>בעמ</w:t>
      </w:r>
      <w:proofErr w:type="spellEnd"/>
      <w:r w:rsidRPr="00C07D61">
        <w:rPr>
          <w:rFonts w:hint="cs"/>
          <w:rtl/>
        </w:rPr>
        <w:t xml:space="preserve">' 391. במאמרו סוקר מרזל עוד כמה קשיים מעשיים ועקרוניים ביישום ההסדר של סעיף 17ג1, ובכללם שאלת הייצוג של הכנסת, המשמעות של הגבלת תפקידה להוכחת תוקפו של החוק, וכן סיווג מעמדה בהליך </w:t>
      </w:r>
      <w:r w:rsidRPr="00C07D61">
        <w:rPr>
          <w:rtl/>
        </w:rPr>
        <w:t>–</w:t>
      </w:r>
      <w:r w:rsidRPr="00C07D61">
        <w:rPr>
          <w:rFonts w:hint="cs"/>
          <w:rtl/>
        </w:rPr>
        <w:t xml:space="preserve"> כבעל דין לכל דבר (שלו זכויות וחובות מיוחדות) או כמשתתף חיצוני. ראו </w:t>
      </w:r>
      <w:r w:rsidRPr="00C07D61">
        <w:rPr>
          <w:rFonts w:hint="cs"/>
          <w:b/>
          <w:bCs/>
          <w:rtl/>
        </w:rPr>
        <w:t>שם</w:t>
      </w:r>
      <w:r w:rsidRPr="00C07D61">
        <w:rPr>
          <w:rFonts w:hint="cs"/>
          <w:rtl/>
        </w:rPr>
        <w:t xml:space="preserve"> בעמ' 397-391.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493010"/>
      <w:docPartObj>
        <w:docPartGallery w:val="Page Numbers (Top of Page)"/>
        <w:docPartUnique/>
      </w:docPartObj>
    </w:sdtPr>
    <w:sdtContent>
      <w:p w:rsidR="009F0DE7" w:rsidRDefault="009F0DE7" w:rsidP="00502C7C">
        <w:pPr>
          <w:pStyle w:val="Header"/>
          <w:tabs>
            <w:tab w:val="left" w:pos="2466"/>
            <w:tab w:val="center" w:pos="4153"/>
          </w:tabs>
        </w:pPr>
        <w:r>
          <w:rPr>
            <w:rtl/>
          </w:rPr>
          <w:tab/>
        </w:r>
        <w:r>
          <w:rPr>
            <w:rtl/>
          </w:rPr>
          <w:tab/>
        </w:r>
        <w:r w:rsidR="001D0D10">
          <w:fldChar w:fldCharType="begin"/>
        </w:r>
        <w:r w:rsidR="0084555F">
          <w:instrText xml:space="preserve"> PAGE   \* MERGEFORMAT </w:instrText>
        </w:r>
        <w:r w:rsidR="001D0D10">
          <w:fldChar w:fldCharType="separate"/>
        </w:r>
        <w:r w:rsidR="00DE2615">
          <w:rPr>
            <w:noProof/>
            <w:rtl/>
          </w:rPr>
          <w:t>38</w:t>
        </w:r>
        <w:r w:rsidR="001D0D10">
          <w:rPr>
            <w:noProof/>
          </w:rPr>
          <w:fldChar w:fldCharType="end"/>
        </w:r>
      </w:p>
    </w:sdtContent>
  </w:sdt>
  <w:p w:rsidR="009F0DE7" w:rsidRDefault="009F0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F5A"/>
    <w:multiLevelType w:val="hybridMultilevel"/>
    <w:tmpl w:val="2D4C1FBC"/>
    <w:lvl w:ilvl="0" w:tplc="C32604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94D7F"/>
    <w:multiLevelType w:val="hybridMultilevel"/>
    <w:tmpl w:val="A606B7E6"/>
    <w:lvl w:ilvl="0" w:tplc="A2F4F4FC">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C0928"/>
    <w:multiLevelType w:val="hybridMultilevel"/>
    <w:tmpl w:val="E474B934"/>
    <w:lvl w:ilvl="0" w:tplc="6EC602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E0E5B"/>
    <w:multiLevelType w:val="hybridMultilevel"/>
    <w:tmpl w:val="71926BA8"/>
    <w:lvl w:ilvl="0" w:tplc="9A763F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A7061"/>
    <w:multiLevelType w:val="hybridMultilevel"/>
    <w:tmpl w:val="A46661A6"/>
    <w:lvl w:ilvl="0" w:tplc="7D083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6110D2"/>
    <w:multiLevelType w:val="hybridMultilevel"/>
    <w:tmpl w:val="915C1D7E"/>
    <w:lvl w:ilvl="0" w:tplc="EA06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030624"/>
    <w:multiLevelType w:val="hybridMultilevel"/>
    <w:tmpl w:val="F7366C7E"/>
    <w:lvl w:ilvl="0" w:tplc="7E5E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1A06B7"/>
    <w:multiLevelType w:val="hybridMultilevel"/>
    <w:tmpl w:val="BA828436"/>
    <w:lvl w:ilvl="0" w:tplc="A724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4"/>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D3D0C"/>
    <w:rsid w:val="00000348"/>
    <w:rsid w:val="0000107E"/>
    <w:rsid w:val="0000139F"/>
    <w:rsid w:val="00001664"/>
    <w:rsid w:val="00001CD8"/>
    <w:rsid w:val="000027C7"/>
    <w:rsid w:val="00002D10"/>
    <w:rsid w:val="00003520"/>
    <w:rsid w:val="00004DC1"/>
    <w:rsid w:val="0000509F"/>
    <w:rsid w:val="00005238"/>
    <w:rsid w:val="0000665B"/>
    <w:rsid w:val="00007A80"/>
    <w:rsid w:val="00007B60"/>
    <w:rsid w:val="00011093"/>
    <w:rsid w:val="000111E9"/>
    <w:rsid w:val="00013514"/>
    <w:rsid w:val="00013A77"/>
    <w:rsid w:val="0001444B"/>
    <w:rsid w:val="00015A09"/>
    <w:rsid w:val="00015F0D"/>
    <w:rsid w:val="00016A5D"/>
    <w:rsid w:val="00016B79"/>
    <w:rsid w:val="00016DBA"/>
    <w:rsid w:val="00017587"/>
    <w:rsid w:val="00017984"/>
    <w:rsid w:val="000218D4"/>
    <w:rsid w:val="00022D17"/>
    <w:rsid w:val="00023446"/>
    <w:rsid w:val="00024988"/>
    <w:rsid w:val="000250E3"/>
    <w:rsid w:val="00025479"/>
    <w:rsid w:val="000255CC"/>
    <w:rsid w:val="00025C04"/>
    <w:rsid w:val="00025FDC"/>
    <w:rsid w:val="00026710"/>
    <w:rsid w:val="00027249"/>
    <w:rsid w:val="00027CCE"/>
    <w:rsid w:val="000306DF"/>
    <w:rsid w:val="000309AA"/>
    <w:rsid w:val="00030AE9"/>
    <w:rsid w:val="00030B2C"/>
    <w:rsid w:val="000337DD"/>
    <w:rsid w:val="00033D38"/>
    <w:rsid w:val="00034D96"/>
    <w:rsid w:val="00035283"/>
    <w:rsid w:val="00036743"/>
    <w:rsid w:val="000368DB"/>
    <w:rsid w:val="00040195"/>
    <w:rsid w:val="00040551"/>
    <w:rsid w:val="000405FD"/>
    <w:rsid w:val="0004167D"/>
    <w:rsid w:val="0004251A"/>
    <w:rsid w:val="00043222"/>
    <w:rsid w:val="000450DC"/>
    <w:rsid w:val="000456BE"/>
    <w:rsid w:val="00046557"/>
    <w:rsid w:val="000468F3"/>
    <w:rsid w:val="00046C4D"/>
    <w:rsid w:val="00047655"/>
    <w:rsid w:val="00047DD0"/>
    <w:rsid w:val="0005060D"/>
    <w:rsid w:val="0005159D"/>
    <w:rsid w:val="00051A9B"/>
    <w:rsid w:val="0005207A"/>
    <w:rsid w:val="000526B3"/>
    <w:rsid w:val="0005445D"/>
    <w:rsid w:val="00054EFB"/>
    <w:rsid w:val="0005518E"/>
    <w:rsid w:val="00055BC6"/>
    <w:rsid w:val="000565E9"/>
    <w:rsid w:val="000571EB"/>
    <w:rsid w:val="00057F8C"/>
    <w:rsid w:val="000608DD"/>
    <w:rsid w:val="00060C5E"/>
    <w:rsid w:val="0006135E"/>
    <w:rsid w:val="00061A9E"/>
    <w:rsid w:val="00062B14"/>
    <w:rsid w:val="00062F22"/>
    <w:rsid w:val="00063137"/>
    <w:rsid w:val="00064B2D"/>
    <w:rsid w:val="000660A3"/>
    <w:rsid w:val="00066AEC"/>
    <w:rsid w:val="00066CBB"/>
    <w:rsid w:val="00067B49"/>
    <w:rsid w:val="000709D8"/>
    <w:rsid w:val="0007149C"/>
    <w:rsid w:val="00072DED"/>
    <w:rsid w:val="00074ABD"/>
    <w:rsid w:val="00075014"/>
    <w:rsid w:val="00075035"/>
    <w:rsid w:val="00075B18"/>
    <w:rsid w:val="0008087A"/>
    <w:rsid w:val="00082642"/>
    <w:rsid w:val="00082884"/>
    <w:rsid w:val="0008502E"/>
    <w:rsid w:val="00087A3B"/>
    <w:rsid w:val="000908BB"/>
    <w:rsid w:val="00090ADC"/>
    <w:rsid w:val="00090F15"/>
    <w:rsid w:val="00092677"/>
    <w:rsid w:val="00092859"/>
    <w:rsid w:val="00093CCF"/>
    <w:rsid w:val="00094980"/>
    <w:rsid w:val="000951CF"/>
    <w:rsid w:val="00095C69"/>
    <w:rsid w:val="00096174"/>
    <w:rsid w:val="000A02AE"/>
    <w:rsid w:val="000A0841"/>
    <w:rsid w:val="000A18A2"/>
    <w:rsid w:val="000A230C"/>
    <w:rsid w:val="000A25AA"/>
    <w:rsid w:val="000A3245"/>
    <w:rsid w:val="000A3508"/>
    <w:rsid w:val="000A3922"/>
    <w:rsid w:val="000A4098"/>
    <w:rsid w:val="000A4E13"/>
    <w:rsid w:val="000A5B9F"/>
    <w:rsid w:val="000A6793"/>
    <w:rsid w:val="000A77DF"/>
    <w:rsid w:val="000B0688"/>
    <w:rsid w:val="000B1088"/>
    <w:rsid w:val="000B411A"/>
    <w:rsid w:val="000B42EA"/>
    <w:rsid w:val="000B47FF"/>
    <w:rsid w:val="000B5B2C"/>
    <w:rsid w:val="000B65FE"/>
    <w:rsid w:val="000B6ACD"/>
    <w:rsid w:val="000B6AE8"/>
    <w:rsid w:val="000B7667"/>
    <w:rsid w:val="000B789B"/>
    <w:rsid w:val="000B7D38"/>
    <w:rsid w:val="000C025D"/>
    <w:rsid w:val="000C0EA7"/>
    <w:rsid w:val="000C0FDF"/>
    <w:rsid w:val="000C5510"/>
    <w:rsid w:val="000C5C9B"/>
    <w:rsid w:val="000C5E2E"/>
    <w:rsid w:val="000C691F"/>
    <w:rsid w:val="000C7419"/>
    <w:rsid w:val="000C7645"/>
    <w:rsid w:val="000C795C"/>
    <w:rsid w:val="000D103D"/>
    <w:rsid w:val="000D2786"/>
    <w:rsid w:val="000D2A4C"/>
    <w:rsid w:val="000D2BEE"/>
    <w:rsid w:val="000D62C4"/>
    <w:rsid w:val="000D6312"/>
    <w:rsid w:val="000D63E1"/>
    <w:rsid w:val="000D6C28"/>
    <w:rsid w:val="000D7A95"/>
    <w:rsid w:val="000D7AD1"/>
    <w:rsid w:val="000D7FE1"/>
    <w:rsid w:val="000E067D"/>
    <w:rsid w:val="000E06D3"/>
    <w:rsid w:val="000E1B33"/>
    <w:rsid w:val="000E22BD"/>
    <w:rsid w:val="000E29D1"/>
    <w:rsid w:val="000E3E3F"/>
    <w:rsid w:val="000E57A3"/>
    <w:rsid w:val="000E5895"/>
    <w:rsid w:val="000E680F"/>
    <w:rsid w:val="000E6BA2"/>
    <w:rsid w:val="000E6EC1"/>
    <w:rsid w:val="000F06F3"/>
    <w:rsid w:val="000F2854"/>
    <w:rsid w:val="000F3314"/>
    <w:rsid w:val="000F3E09"/>
    <w:rsid w:val="000F4173"/>
    <w:rsid w:val="000F46E7"/>
    <w:rsid w:val="000F4B27"/>
    <w:rsid w:val="000F4BC3"/>
    <w:rsid w:val="000F5418"/>
    <w:rsid w:val="000F5630"/>
    <w:rsid w:val="000F610D"/>
    <w:rsid w:val="000F6682"/>
    <w:rsid w:val="000F6843"/>
    <w:rsid w:val="000F781B"/>
    <w:rsid w:val="001013B9"/>
    <w:rsid w:val="00102386"/>
    <w:rsid w:val="00105A79"/>
    <w:rsid w:val="00106D3A"/>
    <w:rsid w:val="00110068"/>
    <w:rsid w:val="001100BE"/>
    <w:rsid w:val="00111FE7"/>
    <w:rsid w:val="0011267D"/>
    <w:rsid w:val="00112EDA"/>
    <w:rsid w:val="00113694"/>
    <w:rsid w:val="001136DB"/>
    <w:rsid w:val="00114212"/>
    <w:rsid w:val="00116288"/>
    <w:rsid w:val="00116630"/>
    <w:rsid w:val="00117F6D"/>
    <w:rsid w:val="001206BE"/>
    <w:rsid w:val="001206C8"/>
    <w:rsid w:val="00121424"/>
    <w:rsid w:val="0012167F"/>
    <w:rsid w:val="00121A2D"/>
    <w:rsid w:val="001228A7"/>
    <w:rsid w:val="00123356"/>
    <w:rsid w:val="0012348E"/>
    <w:rsid w:val="001238AA"/>
    <w:rsid w:val="00124244"/>
    <w:rsid w:val="0012424C"/>
    <w:rsid w:val="001245D6"/>
    <w:rsid w:val="001266DE"/>
    <w:rsid w:val="001269C6"/>
    <w:rsid w:val="0012700C"/>
    <w:rsid w:val="001277D9"/>
    <w:rsid w:val="00127A32"/>
    <w:rsid w:val="00127EF7"/>
    <w:rsid w:val="001303F5"/>
    <w:rsid w:val="00132368"/>
    <w:rsid w:val="00132511"/>
    <w:rsid w:val="00132785"/>
    <w:rsid w:val="00132AA9"/>
    <w:rsid w:val="001334B9"/>
    <w:rsid w:val="001345B7"/>
    <w:rsid w:val="00134C52"/>
    <w:rsid w:val="00134E4E"/>
    <w:rsid w:val="00135EC0"/>
    <w:rsid w:val="00135FC8"/>
    <w:rsid w:val="00136AA7"/>
    <w:rsid w:val="00136E33"/>
    <w:rsid w:val="00137ABB"/>
    <w:rsid w:val="00140153"/>
    <w:rsid w:val="001406AD"/>
    <w:rsid w:val="001407AB"/>
    <w:rsid w:val="00141D72"/>
    <w:rsid w:val="001426CD"/>
    <w:rsid w:val="0014274B"/>
    <w:rsid w:val="001428F1"/>
    <w:rsid w:val="001430E7"/>
    <w:rsid w:val="001430FF"/>
    <w:rsid w:val="001432D2"/>
    <w:rsid w:val="0014386E"/>
    <w:rsid w:val="00143F01"/>
    <w:rsid w:val="00144C05"/>
    <w:rsid w:val="00144C5D"/>
    <w:rsid w:val="00146904"/>
    <w:rsid w:val="00147268"/>
    <w:rsid w:val="00147B54"/>
    <w:rsid w:val="00147D39"/>
    <w:rsid w:val="00147D74"/>
    <w:rsid w:val="0015052D"/>
    <w:rsid w:val="0015127A"/>
    <w:rsid w:val="00152496"/>
    <w:rsid w:val="001528AC"/>
    <w:rsid w:val="00153D01"/>
    <w:rsid w:val="00154F58"/>
    <w:rsid w:val="00155E54"/>
    <w:rsid w:val="001602C8"/>
    <w:rsid w:val="001609B3"/>
    <w:rsid w:val="0016160C"/>
    <w:rsid w:val="00161C1E"/>
    <w:rsid w:val="00162007"/>
    <w:rsid w:val="00162873"/>
    <w:rsid w:val="001638BE"/>
    <w:rsid w:val="00164EAF"/>
    <w:rsid w:val="00165135"/>
    <w:rsid w:val="001656F8"/>
    <w:rsid w:val="00165A18"/>
    <w:rsid w:val="00165B6A"/>
    <w:rsid w:val="001661F0"/>
    <w:rsid w:val="00166B05"/>
    <w:rsid w:val="00167272"/>
    <w:rsid w:val="0017061C"/>
    <w:rsid w:val="0017073F"/>
    <w:rsid w:val="001714AD"/>
    <w:rsid w:val="00171654"/>
    <w:rsid w:val="00171CF6"/>
    <w:rsid w:val="00171D60"/>
    <w:rsid w:val="00171DF8"/>
    <w:rsid w:val="00172034"/>
    <w:rsid w:val="00172525"/>
    <w:rsid w:val="0017295E"/>
    <w:rsid w:val="00172CA8"/>
    <w:rsid w:val="0017336D"/>
    <w:rsid w:val="00173D73"/>
    <w:rsid w:val="00173F84"/>
    <w:rsid w:val="001749D7"/>
    <w:rsid w:val="00174D5D"/>
    <w:rsid w:val="00175125"/>
    <w:rsid w:val="001753BD"/>
    <w:rsid w:val="00175C38"/>
    <w:rsid w:val="0017635E"/>
    <w:rsid w:val="00177B06"/>
    <w:rsid w:val="00181B79"/>
    <w:rsid w:val="00182386"/>
    <w:rsid w:val="001825A5"/>
    <w:rsid w:val="00182F7F"/>
    <w:rsid w:val="00183076"/>
    <w:rsid w:val="001832C7"/>
    <w:rsid w:val="001837A5"/>
    <w:rsid w:val="00184815"/>
    <w:rsid w:val="0018528B"/>
    <w:rsid w:val="001858A9"/>
    <w:rsid w:val="00186FA2"/>
    <w:rsid w:val="0018708E"/>
    <w:rsid w:val="001872B3"/>
    <w:rsid w:val="0018753A"/>
    <w:rsid w:val="00187697"/>
    <w:rsid w:val="00187A28"/>
    <w:rsid w:val="0019068F"/>
    <w:rsid w:val="00190979"/>
    <w:rsid w:val="00190C60"/>
    <w:rsid w:val="001911C9"/>
    <w:rsid w:val="0019252B"/>
    <w:rsid w:val="00192AB7"/>
    <w:rsid w:val="00193676"/>
    <w:rsid w:val="00193E04"/>
    <w:rsid w:val="001953D0"/>
    <w:rsid w:val="001955E4"/>
    <w:rsid w:val="00195CB7"/>
    <w:rsid w:val="001963F6"/>
    <w:rsid w:val="00196F50"/>
    <w:rsid w:val="0019730B"/>
    <w:rsid w:val="001A1650"/>
    <w:rsid w:val="001A241C"/>
    <w:rsid w:val="001A2DFE"/>
    <w:rsid w:val="001A3B3D"/>
    <w:rsid w:val="001A3F85"/>
    <w:rsid w:val="001A423C"/>
    <w:rsid w:val="001A439E"/>
    <w:rsid w:val="001A4BF5"/>
    <w:rsid w:val="001A5278"/>
    <w:rsid w:val="001A5884"/>
    <w:rsid w:val="001A59DE"/>
    <w:rsid w:val="001A65AC"/>
    <w:rsid w:val="001A672D"/>
    <w:rsid w:val="001A6DA5"/>
    <w:rsid w:val="001B07C5"/>
    <w:rsid w:val="001B32A1"/>
    <w:rsid w:val="001B3A38"/>
    <w:rsid w:val="001B4098"/>
    <w:rsid w:val="001B46A2"/>
    <w:rsid w:val="001B4717"/>
    <w:rsid w:val="001B4965"/>
    <w:rsid w:val="001B49E2"/>
    <w:rsid w:val="001B4D7F"/>
    <w:rsid w:val="001B587D"/>
    <w:rsid w:val="001B5FF3"/>
    <w:rsid w:val="001B671C"/>
    <w:rsid w:val="001B6D5E"/>
    <w:rsid w:val="001B7A70"/>
    <w:rsid w:val="001B7E9C"/>
    <w:rsid w:val="001C05A4"/>
    <w:rsid w:val="001C0BAF"/>
    <w:rsid w:val="001C275F"/>
    <w:rsid w:val="001C2E59"/>
    <w:rsid w:val="001C309C"/>
    <w:rsid w:val="001C3545"/>
    <w:rsid w:val="001C5523"/>
    <w:rsid w:val="001C5970"/>
    <w:rsid w:val="001C6410"/>
    <w:rsid w:val="001C6F14"/>
    <w:rsid w:val="001C7983"/>
    <w:rsid w:val="001D0D10"/>
    <w:rsid w:val="001D126A"/>
    <w:rsid w:val="001D334C"/>
    <w:rsid w:val="001D3760"/>
    <w:rsid w:val="001D3C8E"/>
    <w:rsid w:val="001D41D7"/>
    <w:rsid w:val="001D4467"/>
    <w:rsid w:val="001D48A1"/>
    <w:rsid w:val="001D499B"/>
    <w:rsid w:val="001D5367"/>
    <w:rsid w:val="001D738F"/>
    <w:rsid w:val="001D7E29"/>
    <w:rsid w:val="001E04DD"/>
    <w:rsid w:val="001E19A5"/>
    <w:rsid w:val="001E1A41"/>
    <w:rsid w:val="001E3533"/>
    <w:rsid w:val="001E35E3"/>
    <w:rsid w:val="001E3B6A"/>
    <w:rsid w:val="001E7ADD"/>
    <w:rsid w:val="001F0BEA"/>
    <w:rsid w:val="001F1C1D"/>
    <w:rsid w:val="001F1F10"/>
    <w:rsid w:val="001F20EF"/>
    <w:rsid w:val="001F22F8"/>
    <w:rsid w:val="001F2C5A"/>
    <w:rsid w:val="001F5FA2"/>
    <w:rsid w:val="001F6022"/>
    <w:rsid w:val="001F6AEC"/>
    <w:rsid w:val="001F6FA5"/>
    <w:rsid w:val="001F734F"/>
    <w:rsid w:val="00200D40"/>
    <w:rsid w:val="00200FEB"/>
    <w:rsid w:val="00202C58"/>
    <w:rsid w:val="00204140"/>
    <w:rsid w:val="0020469B"/>
    <w:rsid w:val="002050EF"/>
    <w:rsid w:val="00205110"/>
    <w:rsid w:val="002053F6"/>
    <w:rsid w:val="00205511"/>
    <w:rsid w:val="0020558C"/>
    <w:rsid w:val="002055A4"/>
    <w:rsid w:val="002068C5"/>
    <w:rsid w:val="00206B54"/>
    <w:rsid w:val="00206C1A"/>
    <w:rsid w:val="002078F9"/>
    <w:rsid w:val="0021061D"/>
    <w:rsid w:val="0021198C"/>
    <w:rsid w:val="002126E8"/>
    <w:rsid w:val="0021282E"/>
    <w:rsid w:val="00213064"/>
    <w:rsid w:val="0021350C"/>
    <w:rsid w:val="00213E9F"/>
    <w:rsid w:val="00213EF8"/>
    <w:rsid w:val="002144AB"/>
    <w:rsid w:val="002154BF"/>
    <w:rsid w:val="0021633E"/>
    <w:rsid w:val="002163BB"/>
    <w:rsid w:val="00217149"/>
    <w:rsid w:val="00220A1D"/>
    <w:rsid w:val="00220EB1"/>
    <w:rsid w:val="00222840"/>
    <w:rsid w:val="00223D19"/>
    <w:rsid w:val="00223DF1"/>
    <w:rsid w:val="00223F47"/>
    <w:rsid w:val="00224143"/>
    <w:rsid w:val="002248D9"/>
    <w:rsid w:val="00224DC1"/>
    <w:rsid w:val="0022519C"/>
    <w:rsid w:val="002253A9"/>
    <w:rsid w:val="00225F0E"/>
    <w:rsid w:val="00227B98"/>
    <w:rsid w:val="00230037"/>
    <w:rsid w:val="0023034B"/>
    <w:rsid w:val="00237677"/>
    <w:rsid w:val="002379F5"/>
    <w:rsid w:val="00237DA2"/>
    <w:rsid w:val="00240484"/>
    <w:rsid w:val="0024126F"/>
    <w:rsid w:val="002415BE"/>
    <w:rsid w:val="00242887"/>
    <w:rsid w:val="002431FE"/>
    <w:rsid w:val="00244F1B"/>
    <w:rsid w:val="00245214"/>
    <w:rsid w:val="00245E67"/>
    <w:rsid w:val="00246096"/>
    <w:rsid w:val="00246301"/>
    <w:rsid w:val="00246C66"/>
    <w:rsid w:val="00247259"/>
    <w:rsid w:val="002473E2"/>
    <w:rsid w:val="00247497"/>
    <w:rsid w:val="002475CF"/>
    <w:rsid w:val="00247A32"/>
    <w:rsid w:val="002511C8"/>
    <w:rsid w:val="002512E2"/>
    <w:rsid w:val="0025188C"/>
    <w:rsid w:val="00252162"/>
    <w:rsid w:val="00252BE3"/>
    <w:rsid w:val="00253D95"/>
    <w:rsid w:val="00253ED7"/>
    <w:rsid w:val="00254291"/>
    <w:rsid w:val="002554B2"/>
    <w:rsid w:val="002556DF"/>
    <w:rsid w:val="002557DC"/>
    <w:rsid w:val="002559A7"/>
    <w:rsid w:val="002607BD"/>
    <w:rsid w:val="00260A45"/>
    <w:rsid w:val="00262F19"/>
    <w:rsid w:val="00264166"/>
    <w:rsid w:val="00265141"/>
    <w:rsid w:val="0026549E"/>
    <w:rsid w:val="00265647"/>
    <w:rsid w:val="00265E9E"/>
    <w:rsid w:val="002671A7"/>
    <w:rsid w:val="002678A5"/>
    <w:rsid w:val="00267956"/>
    <w:rsid w:val="00267A27"/>
    <w:rsid w:val="00267C8D"/>
    <w:rsid w:val="00270AB3"/>
    <w:rsid w:val="0027108F"/>
    <w:rsid w:val="00271A71"/>
    <w:rsid w:val="00272218"/>
    <w:rsid w:val="002726B4"/>
    <w:rsid w:val="00272D89"/>
    <w:rsid w:val="00272F12"/>
    <w:rsid w:val="002735B5"/>
    <w:rsid w:val="00273FCC"/>
    <w:rsid w:val="00274D63"/>
    <w:rsid w:val="002762BC"/>
    <w:rsid w:val="002766E0"/>
    <w:rsid w:val="002767FA"/>
    <w:rsid w:val="0027748B"/>
    <w:rsid w:val="00277A63"/>
    <w:rsid w:val="002807D2"/>
    <w:rsid w:val="00281A34"/>
    <w:rsid w:val="00281DE2"/>
    <w:rsid w:val="002821A7"/>
    <w:rsid w:val="0028230D"/>
    <w:rsid w:val="002830C2"/>
    <w:rsid w:val="002831E2"/>
    <w:rsid w:val="00283F5C"/>
    <w:rsid w:val="002853FC"/>
    <w:rsid w:val="0028733C"/>
    <w:rsid w:val="00290712"/>
    <w:rsid w:val="0029120E"/>
    <w:rsid w:val="00291BF5"/>
    <w:rsid w:val="00291D4D"/>
    <w:rsid w:val="002940BA"/>
    <w:rsid w:val="00294329"/>
    <w:rsid w:val="00294353"/>
    <w:rsid w:val="00295239"/>
    <w:rsid w:val="00295ADA"/>
    <w:rsid w:val="00295AED"/>
    <w:rsid w:val="00297E61"/>
    <w:rsid w:val="002A061F"/>
    <w:rsid w:val="002A0F4A"/>
    <w:rsid w:val="002A2D65"/>
    <w:rsid w:val="002A3339"/>
    <w:rsid w:val="002A33A9"/>
    <w:rsid w:val="002A447E"/>
    <w:rsid w:val="002A5430"/>
    <w:rsid w:val="002A659D"/>
    <w:rsid w:val="002A6AEA"/>
    <w:rsid w:val="002A70D4"/>
    <w:rsid w:val="002A7F9E"/>
    <w:rsid w:val="002B0D2E"/>
    <w:rsid w:val="002B25E2"/>
    <w:rsid w:val="002B2C73"/>
    <w:rsid w:val="002B2DC5"/>
    <w:rsid w:val="002B2EF2"/>
    <w:rsid w:val="002B3209"/>
    <w:rsid w:val="002B3642"/>
    <w:rsid w:val="002B3E68"/>
    <w:rsid w:val="002B40D5"/>
    <w:rsid w:val="002B4705"/>
    <w:rsid w:val="002B474A"/>
    <w:rsid w:val="002B4FFD"/>
    <w:rsid w:val="002B6881"/>
    <w:rsid w:val="002B7447"/>
    <w:rsid w:val="002B7C48"/>
    <w:rsid w:val="002C022C"/>
    <w:rsid w:val="002C06CC"/>
    <w:rsid w:val="002C095A"/>
    <w:rsid w:val="002C0E13"/>
    <w:rsid w:val="002C1626"/>
    <w:rsid w:val="002C1633"/>
    <w:rsid w:val="002C1CC8"/>
    <w:rsid w:val="002C255C"/>
    <w:rsid w:val="002C3CBF"/>
    <w:rsid w:val="002C41FD"/>
    <w:rsid w:val="002C421A"/>
    <w:rsid w:val="002C4598"/>
    <w:rsid w:val="002C4FD4"/>
    <w:rsid w:val="002C5077"/>
    <w:rsid w:val="002C562D"/>
    <w:rsid w:val="002C6A6D"/>
    <w:rsid w:val="002C77FF"/>
    <w:rsid w:val="002C7854"/>
    <w:rsid w:val="002D010F"/>
    <w:rsid w:val="002D149F"/>
    <w:rsid w:val="002D15DB"/>
    <w:rsid w:val="002D1AAB"/>
    <w:rsid w:val="002D251A"/>
    <w:rsid w:val="002D2E50"/>
    <w:rsid w:val="002D3217"/>
    <w:rsid w:val="002D372A"/>
    <w:rsid w:val="002D3F97"/>
    <w:rsid w:val="002D64BD"/>
    <w:rsid w:val="002D6529"/>
    <w:rsid w:val="002D687B"/>
    <w:rsid w:val="002D6B3D"/>
    <w:rsid w:val="002D7E4D"/>
    <w:rsid w:val="002D7FDD"/>
    <w:rsid w:val="002E11AB"/>
    <w:rsid w:val="002E1F96"/>
    <w:rsid w:val="002E23A8"/>
    <w:rsid w:val="002E36BA"/>
    <w:rsid w:val="002E3E0D"/>
    <w:rsid w:val="002E4A38"/>
    <w:rsid w:val="002E4C06"/>
    <w:rsid w:val="002E5465"/>
    <w:rsid w:val="002E6A88"/>
    <w:rsid w:val="002E71B8"/>
    <w:rsid w:val="002E72A8"/>
    <w:rsid w:val="002F02A0"/>
    <w:rsid w:val="002F082F"/>
    <w:rsid w:val="002F0B5F"/>
    <w:rsid w:val="002F2410"/>
    <w:rsid w:val="002F33F9"/>
    <w:rsid w:val="002F3591"/>
    <w:rsid w:val="002F407D"/>
    <w:rsid w:val="002F4113"/>
    <w:rsid w:val="002F4650"/>
    <w:rsid w:val="002F5AE6"/>
    <w:rsid w:val="002F5E9D"/>
    <w:rsid w:val="002F63E1"/>
    <w:rsid w:val="002F6C72"/>
    <w:rsid w:val="002F7A96"/>
    <w:rsid w:val="002F7AF1"/>
    <w:rsid w:val="002F7B78"/>
    <w:rsid w:val="00300131"/>
    <w:rsid w:val="00300632"/>
    <w:rsid w:val="00300677"/>
    <w:rsid w:val="003009AB"/>
    <w:rsid w:val="00300EDE"/>
    <w:rsid w:val="003010F9"/>
    <w:rsid w:val="0030155D"/>
    <w:rsid w:val="003019DC"/>
    <w:rsid w:val="00301B29"/>
    <w:rsid w:val="00301F1D"/>
    <w:rsid w:val="003023F7"/>
    <w:rsid w:val="00302B83"/>
    <w:rsid w:val="003037BD"/>
    <w:rsid w:val="00303DE0"/>
    <w:rsid w:val="00304B33"/>
    <w:rsid w:val="00304D08"/>
    <w:rsid w:val="0030521C"/>
    <w:rsid w:val="003057A1"/>
    <w:rsid w:val="003063CC"/>
    <w:rsid w:val="003064A1"/>
    <w:rsid w:val="003066E2"/>
    <w:rsid w:val="00307028"/>
    <w:rsid w:val="003101DD"/>
    <w:rsid w:val="003104B3"/>
    <w:rsid w:val="00310756"/>
    <w:rsid w:val="0031081B"/>
    <w:rsid w:val="00311145"/>
    <w:rsid w:val="003119C2"/>
    <w:rsid w:val="00312C31"/>
    <w:rsid w:val="0031304C"/>
    <w:rsid w:val="0031336E"/>
    <w:rsid w:val="003168A6"/>
    <w:rsid w:val="003170EB"/>
    <w:rsid w:val="003174A6"/>
    <w:rsid w:val="003174E1"/>
    <w:rsid w:val="00317FE7"/>
    <w:rsid w:val="00321303"/>
    <w:rsid w:val="00322031"/>
    <w:rsid w:val="00323331"/>
    <w:rsid w:val="003244AB"/>
    <w:rsid w:val="00324D48"/>
    <w:rsid w:val="00325A8E"/>
    <w:rsid w:val="00325AA8"/>
    <w:rsid w:val="00326031"/>
    <w:rsid w:val="00326C8B"/>
    <w:rsid w:val="00331C82"/>
    <w:rsid w:val="00331DDE"/>
    <w:rsid w:val="00333169"/>
    <w:rsid w:val="00333451"/>
    <w:rsid w:val="00333A56"/>
    <w:rsid w:val="00333DEC"/>
    <w:rsid w:val="00334899"/>
    <w:rsid w:val="00335788"/>
    <w:rsid w:val="00335EB6"/>
    <w:rsid w:val="00335F0F"/>
    <w:rsid w:val="00336AB4"/>
    <w:rsid w:val="00337DB4"/>
    <w:rsid w:val="0034086C"/>
    <w:rsid w:val="00341A40"/>
    <w:rsid w:val="00341D7F"/>
    <w:rsid w:val="00344761"/>
    <w:rsid w:val="003456B2"/>
    <w:rsid w:val="00346630"/>
    <w:rsid w:val="003477D4"/>
    <w:rsid w:val="00347FD8"/>
    <w:rsid w:val="003506F2"/>
    <w:rsid w:val="00350729"/>
    <w:rsid w:val="00350CDF"/>
    <w:rsid w:val="0035170F"/>
    <w:rsid w:val="00351A49"/>
    <w:rsid w:val="00352A7C"/>
    <w:rsid w:val="00352F8A"/>
    <w:rsid w:val="0035301E"/>
    <w:rsid w:val="00353534"/>
    <w:rsid w:val="0035361A"/>
    <w:rsid w:val="003540A2"/>
    <w:rsid w:val="00356311"/>
    <w:rsid w:val="00356D45"/>
    <w:rsid w:val="00357676"/>
    <w:rsid w:val="00360090"/>
    <w:rsid w:val="00360393"/>
    <w:rsid w:val="00360CCA"/>
    <w:rsid w:val="00360E2B"/>
    <w:rsid w:val="00361E01"/>
    <w:rsid w:val="00363549"/>
    <w:rsid w:val="00363DDE"/>
    <w:rsid w:val="0036421A"/>
    <w:rsid w:val="003649AD"/>
    <w:rsid w:val="003651D6"/>
    <w:rsid w:val="00365976"/>
    <w:rsid w:val="00365D9A"/>
    <w:rsid w:val="00366802"/>
    <w:rsid w:val="003670A2"/>
    <w:rsid w:val="00367173"/>
    <w:rsid w:val="003700AC"/>
    <w:rsid w:val="00371912"/>
    <w:rsid w:val="0037270E"/>
    <w:rsid w:val="0037358C"/>
    <w:rsid w:val="00373D53"/>
    <w:rsid w:val="00374B64"/>
    <w:rsid w:val="00374F2B"/>
    <w:rsid w:val="003754EB"/>
    <w:rsid w:val="00375620"/>
    <w:rsid w:val="00375DAF"/>
    <w:rsid w:val="00375DDB"/>
    <w:rsid w:val="00376433"/>
    <w:rsid w:val="003765A5"/>
    <w:rsid w:val="00376E00"/>
    <w:rsid w:val="003776EF"/>
    <w:rsid w:val="003777A1"/>
    <w:rsid w:val="00377F1F"/>
    <w:rsid w:val="00381749"/>
    <w:rsid w:val="00382BA2"/>
    <w:rsid w:val="00382F19"/>
    <w:rsid w:val="00383E80"/>
    <w:rsid w:val="00383FD5"/>
    <w:rsid w:val="003843DC"/>
    <w:rsid w:val="00384536"/>
    <w:rsid w:val="00385195"/>
    <w:rsid w:val="00387220"/>
    <w:rsid w:val="00387C37"/>
    <w:rsid w:val="0039094D"/>
    <w:rsid w:val="00390E67"/>
    <w:rsid w:val="00390E7C"/>
    <w:rsid w:val="0039113E"/>
    <w:rsid w:val="003912F2"/>
    <w:rsid w:val="00392222"/>
    <w:rsid w:val="0039284A"/>
    <w:rsid w:val="00393417"/>
    <w:rsid w:val="0039446D"/>
    <w:rsid w:val="00394AA3"/>
    <w:rsid w:val="00395515"/>
    <w:rsid w:val="00396731"/>
    <w:rsid w:val="003967CE"/>
    <w:rsid w:val="003969F3"/>
    <w:rsid w:val="00396F59"/>
    <w:rsid w:val="003A0193"/>
    <w:rsid w:val="003A06A8"/>
    <w:rsid w:val="003A0C66"/>
    <w:rsid w:val="003A11A0"/>
    <w:rsid w:val="003A1B05"/>
    <w:rsid w:val="003A1BB4"/>
    <w:rsid w:val="003A1EB6"/>
    <w:rsid w:val="003A209C"/>
    <w:rsid w:val="003A24F3"/>
    <w:rsid w:val="003A2B64"/>
    <w:rsid w:val="003A3D18"/>
    <w:rsid w:val="003A3F43"/>
    <w:rsid w:val="003A5C85"/>
    <w:rsid w:val="003A66BD"/>
    <w:rsid w:val="003B0907"/>
    <w:rsid w:val="003B0D18"/>
    <w:rsid w:val="003B1228"/>
    <w:rsid w:val="003B135B"/>
    <w:rsid w:val="003B1607"/>
    <w:rsid w:val="003B1B81"/>
    <w:rsid w:val="003B1C59"/>
    <w:rsid w:val="003B3C56"/>
    <w:rsid w:val="003B5460"/>
    <w:rsid w:val="003B58AC"/>
    <w:rsid w:val="003B5E12"/>
    <w:rsid w:val="003B7260"/>
    <w:rsid w:val="003B7C30"/>
    <w:rsid w:val="003B7D3B"/>
    <w:rsid w:val="003C0A5F"/>
    <w:rsid w:val="003C0F0E"/>
    <w:rsid w:val="003C15BE"/>
    <w:rsid w:val="003C1C58"/>
    <w:rsid w:val="003C2B30"/>
    <w:rsid w:val="003C4B2C"/>
    <w:rsid w:val="003C4CAE"/>
    <w:rsid w:val="003C4CBE"/>
    <w:rsid w:val="003C55A5"/>
    <w:rsid w:val="003C6567"/>
    <w:rsid w:val="003C73CE"/>
    <w:rsid w:val="003D06C9"/>
    <w:rsid w:val="003D07DC"/>
    <w:rsid w:val="003D0E85"/>
    <w:rsid w:val="003D1EAB"/>
    <w:rsid w:val="003D20B1"/>
    <w:rsid w:val="003D2111"/>
    <w:rsid w:val="003D2A60"/>
    <w:rsid w:val="003D3460"/>
    <w:rsid w:val="003D3985"/>
    <w:rsid w:val="003D41CA"/>
    <w:rsid w:val="003D45B9"/>
    <w:rsid w:val="003D5421"/>
    <w:rsid w:val="003D5708"/>
    <w:rsid w:val="003D58CB"/>
    <w:rsid w:val="003D5905"/>
    <w:rsid w:val="003D65D8"/>
    <w:rsid w:val="003D6C72"/>
    <w:rsid w:val="003D715E"/>
    <w:rsid w:val="003D785D"/>
    <w:rsid w:val="003D7AE2"/>
    <w:rsid w:val="003D7BF0"/>
    <w:rsid w:val="003D7F03"/>
    <w:rsid w:val="003E20D6"/>
    <w:rsid w:val="003E24A7"/>
    <w:rsid w:val="003E3A32"/>
    <w:rsid w:val="003E3D00"/>
    <w:rsid w:val="003E60E3"/>
    <w:rsid w:val="003E6C1E"/>
    <w:rsid w:val="003E6E45"/>
    <w:rsid w:val="003E7B4D"/>
    <w:rsid w:val="003E7EA8"/>
    <w:rsid w:val="003F0281"/>
    <w:rsid w:val="003F1BB0"/>
    <w:rsid w:val="003F2C34"/>
    <w:rsid w:val="003F34DF"/>
    <w:rsid w:val="003F41B6"/>
    <w:rsid w:val="003F5DEB"/>
    <w:rsid w:val="003F6089"/>
    <w:rsid w:val="003F680A"/>
    <w:rsid w:val="003F6C4B"/>
    <w:rsid w:val="003F7034"/>
    <w:rsid w:val="003F78AD"/>
    <w:rsid w:val="00402211"/>
    <w:rsid w:val="00402622"/>
    <w:rsid w:val="004030D7"/>
    <w:rsid w:val="00404148"/>
    <w:rsid w:val="00404354"/>
    <w:rsid w:val="00404A7A"/>
    <w:rsid w:val="00406D55"/>
    <w:rsid w:val="004071C2"/>
    <w:rsid w:val="00407B5D"/>
    <w:rsid w:val="00410C9D"/>
    <w:rsid w:val="00412D99"/>
    <w:rsid w:val="00412DC6"/>
    <w:rsid w:val="00413488"/>
    <w:rsid w:val="00413B68"/>
    <w:rsid w:val="00413EBB"/>
    <w:rsid w:val="00414429"/>
    <w:rsid w:val="0041609C"/>
    <w:rsid w:val="00416DA7"/>
    <w:rsid w:val="004203AD"/>
    <w:rsid w:val="00420E05"/>
    <w:rsid w:val="0042193A"/>
    <w:rsid w:val="00421BE1"/>
    <w:rsid w:val="00421DE7"/>
    <w:rsid w:val="004224EB"/>
    <w:rsid w:val="004235FA"/>
    <w:rsid w:val="00423D3E"/>
    <w:rsid w:val="00423D5D"/>
    <w:rsid w:val="00423DB9"/>
    <w:rsid w:val="004269A3"/>
    <w:rsid w:val="00430FEF"/>
    <w:rsid w:val="0043167F"/>
    <w:rsid w:val="00431C9A"/>
    <w:rsid w:val="0043223C"/>
    <w:rsid w:val="00432BB4"/>
    <w:rsid w:val="00432DCE"/>
    <w:rsid w:val="004349D5"/>
    <w:rsid w:val="00434D34"/>
    <w:rsid w:val="00434EA7"/>
    <w:rsid w:val="004360D2"/>
    <w:rsid w:val="0043620E"/>
    <w:rsid w:val="00437300"/>
    <w:rsid w:val="00440B77"/>
    <w:rsid w:val="00441875"/>
    <w:rsid w:val="004418B3"/>
    <w:rsid w:val="00442792"/>
    <w:rsid w:val="00443135"/>
    <w:rsid w:val="0044321E"/>
    <w:rsid w:val="0044376C"/>
    <w:rsid w:val="004439D4"/>
    <w:rsid w:val="00443CDA"/>
    <w:rsid w:val="00443DEF"/>
    <w:rsid w:val="00445C50"/>
    <w:rsid w:val="0044694E"/>
    <w:rsid w:val="00446A06"/>
    <w:rsid w:val="004479BB"/>
    <w:rsid w:val="00447BC6"/>
    <w:rsid w:val="004500C3"/>
    <w:rsid w:val="00451B50"/>
    <w:rsid w:val="00452E23"/>
    <w:rsid w:val="00456ECF"/>
    <w:rsid w:val="00456FF9"/>
    <w:rsid w:val="00457237"/>
    <w:rsid w:val="0045762D"/>
    <w:rsid w:val="0045768E"/>
    <w:rsid w:val="00457C0D"/>
    <w:rsid w:val="00457CEF"/>
    <w:rsid w:val="00457E90"/>
    <w:rsid w:val="004633FA"/>
    <w:rsid w:val="00463731"/>
    <w:rsid w:val="00463AEA"/>
    <w:rsid w:val="0046433F"/>
    <w:rsid w:val="004648B8"/>
    <w:rsid w:val="0046551C"/>
    <w:rsid w:val="0046567E"/>
    <w:rsid w:val="00466CFA"/>
    <w:rsid w:val="004675CB"/>
    <w:rsid w:val="00467F23"/>
    <w:rsid w:val="004701BB"/>
    <w:rsid w:val="00470791"/>
    <w:rsid w:val="004709ED"/>
    <w:rsid w:val="00471CC5"/>
    <w:rsid w:val="00471D33"/>
    <w:rsid w:val="00471E50"/>
    <w:rsid w:val="00473A7E"/>
    <w:rsid w:val="00473BAA"/>
    <w:rsid w:val="00474378"/>
    <w:rsid w:val="00474F1C"/>
    <w:rsid w:val="0047594C"/>
    <w:rsid w:val="004776B0"/>
    <w:rsid w:val="00477741"/>
    <w:rsid w:val="00477816"/>
    <w:rsid w:val="004803CF"/>
    <w:rsid w:val="004809BA"/>
    <w:rsid w:val="00481416"/>
    <w:rsid w:val="00481780"/>
    <w:rsid w:val="00481F33"/>
    <w:rsid w:val="00482C1D"/>
    <w:rsid w:val="00482D16"/>
    <w:rsid w:val="00483508"/>
    <w:rsid w:val="00484AD5"/>
    <w:rsid w:val="004860FD"/>
    <w:rsid w:val="00486619"/>
    <w:rsid w:val="0048662C"/>
    <w:rsid w:val="0049023B"/>
    <w:rsid w:val="00490471"/>
    <w:rsid w:val="004911DE"/>
    <w:rsid w:val="00493095"/>
    <w:rsid w:val="0049352D"/>
    <w:rsid w:val="004944F0"/>
    <w:rsid w:val="00494FCE"/>
    <w:rsid w:val="0049536F"/>
    <w:rsid w:val="00495565"/>
    <w:rsid w:val="00496F22"/>
    <w:rsid w:val="00497DF0"/>
    <w:rsid w:val="004A11AD"/>
    <w:rsid w:val="004A2541"/>
    <w:rsid w:val="004A28D0"/>
    <w:rsid w:val="004A3E14"/>
    <w:rsid w:val="004A56FF"/>
    <w:rsid w:val="004A631E"/>
    <w:rsid w:val="004B012A"/>
    <w:rsid w:val="004B019B"/>
    <w:rsid w:val="004B2CCD"/>
    <w:rsid w:val="004B34E5"/>
    <w:rsid w:val="004B3EE2"/>
    <w:rsid w:val="004B4550"/>
    <w:rsid w:val="004B4F3B"/>
    <w:rsid w:val="004B5238"/>
    <w:rsid w:val="004B55FC"/>
    <w:rsid w:val="004B5E9F"/>
    <w:rsid w:val="004B60E5"/>
    <w:rsid w:val="004B61BA"/>
    <w:rsid w:val="004B7220"/>
    <w:rsid w:val="004B7960"/>
    <w:rsid w:val="004C0991"/>
    <w:rsid w:val="004C140B"/>
    <w:rsid w:val="004C1DC9"/>
    <w:rsid w:val="004C1F89"/>
    <w:rsid w:val="004C2DAC"/>
    <w:rsid w:val="004C302F"/>
    <w:rsid w:val="004C3B29"/>
    <w:rsid w:val="004C3E8C"/>
    <w:rsid w:val="004C4073"/>
    <w:rsid w:val="004C4101"/>
    <w:rsid w:val="004C4501"/>
    <w:rsid w:val="004C453E"/>
    <w:rsid w:val="004C49D0"/>
    <w:rsid w:val="004C528D"/>
    <w:rsid w:val="004C5A0F"/>
    <w:rsid w:val="004C626B"/>
    <w:rsid w:val="004D065E"/>
    <w:rsid w:val="004D0E9F"/>
    <w:rsid w:val="004D1146"/>
    <w:rsid w:val="004D14B7"/>
    <w:rsid w:val="004D194F"/>
    <w:rsid w:val="004D2FAE"/>
    <w:rsid w:val="004D3336"/>
    <w:rsid w:val="004D54BC"/>
    <w:rsid w:val="004D611D"/>
    <w:rsid w:val="004D690E"/>
    <w:rsid w:val="004D733B"/>
    <w:rsid w:val="004E0246"/>
    <w:rsid w:val="004E063F"/>
    <w:rsid w:val="004E15A2"/>
    <w:rsid w:val="004E2B7B"/>
    <w:rsid w:val="004E385E"/>
    <w:rsid w:val="004E3EE3"/>
    <w:rsid w:val="004E46D8"/>
    <w:rsid w:val="004E483E"/>
    <w:rsid w:val="004E4916"/>
    <w:rsid w:val="004E4E2C"/>
    <w:rsid w:val="004E6479"/>
    <w:rsid w:val="004E6583"/>
    <w:rsid w:val="004E686C"/>
    <w:rsid w:val="004E68B9"/>
    <w:rsid w:val="004E6BEF"/>
    <w:rsid w:val="004E71FF"/>
    <w:rsid w:val="004F05C8"/>
    <w:rsid w:val="004F07E8"/>
    <w:rsid w:val="004F0DAE"/>
    <w:rsid w:val="004F150E"/>
    <w:rsid w:val="004F19B6"/>
    <w:rsid w:val="004F2ED1"/>
    <w:rsid w:val="004F3157"/>
    <w:rsid w:val="004F31FE"/>
    <w:rsid w:val="004F32C3"/>
    <w:rsid w:val="004F3E51"/>
    <w:rsid w:val="004F3EC2"/>
    <w:rsid w:val="004F4BA7"/>
    <w:rsid w:val="004F4D02"/>
    <w:rsid w:val="004F4F61"/>
    <w:rsid w:val="004F4FE5"/>
    <w:rsid w:val="004F5C33"/>
    <w:rsid w:val="004F5C55"/>
    <w:rsid w:val="004F5E83"/>
    <w:rsid w:val="004F5F6A"/>
    <w:rsid w:val="004F61FE"/>
    <w:rsid w:val="004F64F5"/>
    <w:rsid w:val="004F651D"/>
    <w:rsid w:val="004F74D9"/>
    <w:rsid w:val="004F767E"/>
    <w:rsid w:val="005016AA"/>
    <w:rsid w:val="00501966"/>
    <w:rsid w:val="00501A9F"/>
    <w:rsid w:val="00502C7C"/>
    <w:rsid w:val="00502F95"/>
    <w:rsid w:val="00504837"/>
    <w:rsid w:val="00504A7B"/>
    <w:rsid w:val="005072FD"/>
    <w:rsid w:val="005112FB"/>
    <w:rsid w:val="0051174F"/>
    <w:rsid w:val="00511858"/>
    <w:rsid w:val="00511BD0"/>
    <w:rsid w:val="00511E4D"/>
    <w:rsid w:val="00512A99"/>
    <w:rsid w:val="005130DF"/>
    <w:rsid w:val="0051356E"/>
    <w:rsid w:val="00513686"/>
    <w:rsid w:val="00513CE6"/>
    <w:rsid w:val="00513D29"/>
    <w:rsid w:val="00514E57"/>
    <w:rsid w:val="005154FE"/>
    <w:rsid w:val="00515C6D"/>
    <w:rsid w:val="00515F55"/>
    <w:rsid w:val="005168B6"/>
    <w:rsid w:val="00516D19"/>
    <w:rsid w:val="005174AF"/>
    <w:rsid w:val="0051764C"/>
    <w:rsid w:val="005177D9"/>
    <w:rsid w:val="00517A4D"/>
    <w:rsid w:val="00517CFA"/>
    <w:rsid w:val="005209DD"/>
    <w:rsid w:val="005226C5"/>
    <w:rsid w:val="0052426A"/>
    <w:rsid w:val="00526097"/>
    <w:rsid w:val="005266C4"/>
    <w:rsid w:val="00526CD3"/>
    <w:rsid w:val="00526FF6"/>
    <w:rsid w:val="00527126"/>
    <w:rsid w:val="00527509"/>
    <w:rsid w:val="0052789B"/>
    <w:rsid w:val="0052793A"/>
    <w:rsid w:val="00527EBA"/>
    <w:rsid w:val="0053123B"/>
    <w:rsid w:val="00531DC2"/>
    <w:rsid w:val="00533396"/>
    <w:rsid w:val="0053389B"/>
    <w:rsid w:val="00533BE2"/>
    <w:rsid w:val="00534359"/>
    <w:rsid w:val="00535FCE"/>
    <w:rsid w:val="005375DE"/>
    <w:rsid w:val="00537AD1"/>
    <w:rsid w:val="005402D1"/>
    <w:rsid w:val="005406C7"/>
    <w:rsid w:val="0054074D"/>
    <w:rsid w:val="005409E5"/>
    <w:rsid w:val="00541032"/>
    <w:rsid w:val="0054156F"/>
    <w:rsid w:val="00541DAF"/>
    <w:rsid w:val="00541E5D"/>
    <w:rsid w:val="00541EC8"/>
    <w:rsid w:val="005426CC"/>
    <w:rsid w:val="005433DB"/>
    <w:rsid w:val="005436BB"/>
    <w:rsid w:val="0054397B"/>
    <w:rsid w:val="0054419F"/>
    <w:rsid w:val="00544783"/>
    <w:rsid w:val="00544842"/>
    <w:rsid w:val="00544F22"/>
    <w:rsid w:val="00545736"/>
    <w:rsid w:val="00545F22"/>
    <w:rsid w:val="005472E2"/>
    <w:rsid w:val="005478AD"/>
    <w:rsid w:val="005479F9"/>
    <w:rsid w:val="00547B18"/>
    <w:rsid w:val="00550336"/>
    <w:rsid w:val="0055081E"/>
    <w:rsid w:val="00550D5D"/>
    <w:rsid w:val="00551C2A"/>
    <w:rsid w:val="00551EEB"/>
    <w:rsid w:val="00551F3E"/>
    <w:rsid w:val="00552506"/>
    <w:rsid w:val="00552B29"/>
    <w:rsid w:val="005534A1"/>
    <w:rsid w:val="005538E9"/>
    <w:rsid w:val="005551F7"/>
    <w:rsid w:val="00555285"/>
    <w:rsid w:val="005553C2"/>
    <w:rsid w:val="00556335"/>
    <w:rsid w:val="005567B1"/>
    <w:rsid w:val="005574FE"/>
    <w:rsid w:val="00557B51"/>
    <w:rsid w:val="00560345"/>
    <w:rsid w:val="00561033"/>
    <w:rsid w:val="00561724"/>
    <w:rsid w:val="00561732"/>
    <w:rsid w:val="00561A00"/>
    <w:rsid w:val="00562FA6"/>
    <w:rsid w:val="005646E5"/>
    <w:rsid w:val="00564758"/>
    <w:rsid w:val="00564BBA"/>
    <w:rsid w:val="0056570A"/>
    <w:rsid w:val="00565988"/>
    <w:rsid w:val="005675DB"/>
    <w:rsid w:val="00567DF0"/>
    <w:rsid w:val="00571A6C"/>
    <w:rsid w:val="00572037"/>
    <w:rsid w:val="005732E2"/>
    <w:rsid w:val="005738AF"/>
    <w:rsid w:val="00574210"/>
    <w:rsid w:val="005746E5"/>
    <w:rsid w:val="00574805"/>
    <w:rsid w:val="00576EF5"/>
    <w:rsid w:val="0057741D"/>
    <w:rsid w:val="00577595"/>
    <w:rsid w:val="00580721"/>
    <w:rsid w:val="00580A7D"/>
    <w:rsid w:val="00580B8C"/>
    <w:rsid w:val="00581056"/>
    <w:rsid w:val="00582917"/>
    <w:rsid w:val="00582F2C"/>
    <w:rsid w:val="00584C5B"/>
    <w:rsid w:val="00584F9A"/>
    <w:rsid w:val="00587281"/>
    <w:rsid w:val="0059085E"/>
    <w:rsid w:val="00590E54"/>
    <w:rsid w:val="0059128B"/>
    <w:rsid w:val="0059137A"/>
    <w:rsid w:val="00591A01"/>
    <w:rsid w:val="0059209D"/>
    <w:rsid w:val="00593C6C"/>
    <w:rsid w:val="00594BA6"/>
    <w:rsid w:val="00594EE5"/>
    <w:rsid w:val="0059593C"/>
    <w:rsid w:val="005965A1"/>
    <w:rsid w:val="00596E7B"/>
    <w:rsid w:val="005973B5"/>
    <w:rsid w:val="0059788E"/>
    <w:rsid w:val="005A0EA5"/>
    <w:rsid w:val="005A16E9"/>
    <w:rsid w:val="005A2B38"/>
    <w:rsid w:val="005A2E2F"/>
    <w:rsid w:val="005A343C"/>
    <w:rsid w:val="005A5ED5"/>
    <w:rsid w:val="005A5FD4"/>
    <w:rsid w:val="005A730B"/>
    <w:rsid w:val="005A75AB"/>
    <w:rsid w:val="005A7E46"/>
    <w:rsid w:val="005B036C"/>
    <w:rsid w:val="005B0FB8"/>
    <w:rsid w:val="005B10E3"/>
    <w:rsid w:val="005B13C8"/>
    <w:rsid w:val="005B1976"/>
    <w:rsid w:val="005B1D9F"/>
    <w:rsid w:val="005B1EC1"/>
    <w:rsid w:val="005B26B4"/>
    <w:rsid w:val="005B290D"/>
    <w:rsid w:val="005B2B90"/>
    <w:rsid w:val="005B30DD"/>
    <w:rsid w:val="005B44D7"/>
    <w:rsid w:val="005B49F6"/>
    <w:rsid w:val="005B51D7"/>
    <w:rsid w:val="005B55E6"/>
    <w:rsid w:val="005B57A9"/>
    <w:rsid w:val="005B58FF"/>
    <w:rsid w:val="005B5EB9"/>
    <w:rsid w:val="005B73D5"/>
    <w:rsid w:val="005B79B3"/>
    <w:rsid w:val="005B7E66"/>
    <w:rsid w:val="005C04CE"/>
    <w:rsid w:val="005C0D1F"/>
    <w:rsid w:val="005C1040"/>
    <w:rsid w:val="005C1253"/>
    <w:rsid w:val="005C1A7D"/>
    <w:rsid w:val="005C1F93"/>
    <w:rsid w:val="005C2145"/>
    <w:rsid w:val="005C3340"/>
    <w:rsid w:val="005C5F22"/>
    <w:rsid w:val="005C689F"/>
    <w:rsid w:val="005C6BD0"/>
    <w:rsid w:val="005C78B7"/>
    <w:rsid w:val="005C7AD4"/>
    <w:rsid w:val="005D060A"/>
    <w:rsid w:val="005D06E3"/>
    <w:rsid w:val="005D17EE"/>
    <w:rsid w:val="005D1CDE"/>
    <w:rsid w:val="005D219D"/>
    <w:rsid w:val="005D21D0"/>
    <w:rsid w:val="005D305F"/>
    <w:rsid w:val="005D370D"/>
    <w:rsid w:val="005D3A4C"/>
    <w:rsid w:val="005D4433"/>
    <w:rsid w:val="005D4B41"/>
    <w:rsid w:val="005D4F3F"/>
    <w:rsid w:val="005D5A70"/>
    <w:rsid w:val="005D61E4"/>
    <w:rsid w:val="005D6639"/>
    <w:rsid w:val="005D6F8C"/>
    <w:rsid w:val="005D7847"/>
    <w:rsid w:val="005D7F90"/>
    <w:rsid w:val="005E0049"/>
    <w:rsid w:val="005E18A3"/>
    <w:rsid w:val="005E1C13"/>
    <w:rsid w:val="005E1DBD"/>
    <w:rsid w:val="005E215A"/>
    <w:rsid w:val="005E229E"/>
    <w:rsid w:val="005E24C6"/>
    <w:rsid w:val="005E2D3E"/>
    <w:rsid w:val="005E3B60"/>
    <w:rsid w:val="005E41DF"/>
    <w:rsid w:val="005E626C"/>
    <w:rsid w:val="005F0737"/>
    <w:rsid w:val="005F1F2B"/>
    <w:rsid w:val="005F36FE"/>
    <w:rsid w:val="005F630A"/>
    <w:rsid w:val="005F6641"/>
    <w:rsid w:val="005F693B"/>
    <w:rsid w:val="0060049F"/>
    <w:rsid w:val="00600616"/>
    <w:rsid w:val="006014FF"/>
    <w:rsid w:val="00601B2B"/>
    <w:rsid w:val="0060248A"/>
    <w:rsid w:val="00602638"/>
    <w:rsid w:val="00603127"/>
    <w:rsid w:val="00603236"/>
    <w:rsid w:val="0060335A"/>
    <w:rsid w:val="006038C7"/>
    <w:rsid w:val="00603FEE"/>
    <w:rsid w:val="006042D3"/>
    <w:rsid w:val="0060450C"/>
    <w:rsid w:val="0060474B"/>
    <w:rsid w:val="00604E09"/>
    <w:rsid w:val="006069AF"/>
    <w:rsid w:val="0060760C"/>
    <w:rsid w:val="006079D8"/>
    <w:rsid w:val="006079E3"/>
    <w:rsid w:val="006111B9"/>
    <w:rsid w:val="00611AF2"/>
    <w:rsid w:val="0061249B"/>
    <w:rsid w:val="00613836"/>
    <w:rsid w:val="00615E07"/>
    <w:rsid w:val="0061680E"/>
    <w:rsid w:val="00616BDB"/>
    <w:rsid w:val="00616D8F"/>
    <w:rsid w:val="00617EC2"/>
    <w:rsid w:val="00617FA5"/>
    <w:rsid w:val="006202B9"/>
    <w:rsid w:val="00621FF2"/>
    <w:rsid w:val="00622C11"/>
    <w:rsid w:val="00623233"/>
    <w:rsid w:val="00623EF8"/>
    <w:rsid w:val="006249A5"/>
    <w:rsid w:val="00624CDF"/>
    <w:rsid w:val="006254A8"/>
    <w:rsid w:val="00626374"/>
    <w:rsid w:val="00627B61"/>
    <w:rsid w:val="00627E64"/>
    <w:rsid w:val="006309EC"/>
    <w:rsid w:val="00630C08"/>
    <w:rsid w:val="00631479"/>
    <w:rsid w:val="00631B6E"/>
    <w:rsid w:val="00632243"/>
    <w:rsid w:val="0063243F"/>
    <w:rsid w:val="00632A87"/>
    <w:rsid w:val="0063469D"/>
    <w:rsid w:val="006353D7"/>
    <w:rsid w:val="00635B75"/>
    <w:rsid w:val="00635CB9"/>
    <w:rsid w:val="006360BE"/>
    <w:rsid w:val="0063615A"/>
    <w:rsid w:val="0063721A"/>
    <w:rsid w:val="00637623"/>
    <w:rsid w:val="0063797C"/>
    <w:rsid w:val="00637F51"/>
    <w:rsid w:val="00640B32"/>
    <w:rsid w:val="00641B04"/>
    <w:rsid w:val="00641B71"/>
    <w:rsid w:val="00641BC2"/>
    <w:rsid w:val="00641EF1"/>
    <w:rsid w:val="006424C1"/>
    <w:rsid w:val="00642C44"/>
    <w:rsid w:val="00642C80"/>
    <w:rsid w:val="00642EE1"/>
    <w:rsid w:val="00644595"/>
    <w:rsid w:val="00644E9E"/>
    <w:rsid w:val="006451A3"/>
    <w:rsid w:val="00645692"/>
    <w:rsid w:val="0064590C"/>
    <w:rsid w:val="006476B2"/>
    <w:rsid w:val="006479BD"/>
    <w:rsid w:val="006502A4"/>
    <w:rsid w:val="006505B1"/>
    <w:rsid w:val="00650ED9"/>
    <w:rsid w:val="00650F40"/>
    <w:rsid w:val="00651D4C"/>
    <w:rsid w:val="00651F1C"/>
    <w:rsid w:val="00652435"/>
    <w:rsid w:val="00654A98"/>
    <w:rsid w:val="0065555D"/>
    <w:rsid w:val="00656380"/>
    <w:rsid w:val="0065720F"/>
    <w:rsid w:val="00657910"/>
    <w:rsid w:val="00660A34"/>
    <w:rsid w:val="00662491"/>
    <w:rsid w:val="0066357C"/>
    <w:rsid w:val="00663A21"/>
    <w:rsid w:val="00664E68"/>
    <w:rsid w:val="00665548"/>
    <w:rsid w:val="00665E45"/>
    <w:rsid w:val="0066699D"/>
    <w:rsid w:val="00666C2D"/>
    <w:rsid w:val="00666F74"/>
    <w:rsid w:val="006670BF"/>
    <w:rsid w:val="0066787A"/>
    <w:rsid w:val="006679B3"/>
    <w:rsid w:val="006679F9"/>
    <w:rsid w:val="00671222"/>
    <w:rsid w:val="00671573"/>
    <w:rsid w:val="006717E5"/>
    <w:rsid w:val="00672352"/>
    <w:rsid w:val="0067267C"/>
    <w:rsid w:val="00672819"/>
    <w:rsid w:val="00673425"/>
    <w:rsid w:val="006742CF"/>
    <w:rsid w:val="00675311"/>
    <w:rsid w:val="0067537F"/>
    <w:rsid w:val="00675E94"/>
    <w:rsid w:val="00676FC3"/>
    <w:rsid w:val="006774C3"/>
    <w:rsid w:val="00677DA4"/>
    <w:rsid w:val="006805E4"/>
    <w:rsid w:val="0068107C"/>
    <w:rsid w:val="00682743"/>
    <w:rsid w:val="00682AB5"/>
    <w:rsid w:val="006843A8"/>
    <w:rsid w:val="0068451E"/>
    <w:rsid w:val="00684B57"/>
    <w:rsid w:val="00685C44"/>
    <w:rsid w:val="0068625F"/>
    <w:rsid w:val="006902E2"/>
    <w:rsid w:val="00690371"/>
    <w:rsid w:val="006908FD"/>
    <w:rsid w:val="006909DC"/>
    <w:rsid w:val="00691BBA"/>
    <w:rsid w:val="006925F1"/>
    <w:rsid w:val="00693331"/>
    <w:rsid w:val="0069352A"/>
    <w:rsid w:val="00693662"/>
    <w:rsid w:val="00694C5C"/>
    <w:rsid w:val="0069558B"/>
    <w:rsid w:val="00695B8C"/>
    <w:rsid w:val="0069680A"/>
    <w:rsid w:val="006969E3"/>
    <w:rsid w:val="00696B7C"/>
    <w:rsid w:val="00696BFF"/>
    <w:rsid w:val="0069775B"/>
    <w:rsid w:val="006A0A66"/>
    <w:rsid w:val="006A11ED"/>
    <w:rsid w:val="006A1A2C"/>
    <w:rsid w:val="006A2780"/>
    <w:rsid w:val="006A3424"/>
    <w:rsid w:val="006A342E"/>
    <w:rsid w:val="006A4CC6"/>
    <w:rsid w:val="006A5442"/>
    <w:rsid w:val="006A58EA"/>
    <w:rsid w:val="006A71E4"/>
    <w:rsid w:val="006A7956"/>
    <w:rsid w:val="006B002D"/>
    <w:rsid w:val="006B02B8"/>
    <w:rsid w:val="006B12F5"/>
    <w:rsid w:val="006B215E"/>
    <w:rsid w:val="006B2527"/>
    <w:rsid w:val="006B2655"/>
    <w:rsid w:val="006B3128"/>
    <w:rsid w:val="006B3147"/>
    <w:rsid w:val="006B35BF"/>
    <w:rsid w:val="006B3687"/>
    <w:rsid w:val="006B3DE0"/>
    <w:rsid w:val="006B4800"/>
    <w:rsid w:val="006B4910"/>
    <w:rsid w:val="006B4951"/>
    <w:rsid w:val="006B4A66"/>
    <w:rsid w:val="006B4CAA"/>
    <w:rsid w:val="006B4EAF"/>
    <w:rsid w:val="006B566E"/>
    <w:rsid w:val="006B573C"/>
    <w:rsid w:val="006B6651"/>
    <w:rsid w:val="006B6E74"/>
    <w:rsid w:val="006B767F"/>
    <w:rsid w:val="006C0221"/>
    <w:rsid w:val="006C086C"/>
    <w:rsid w:val="006C0FAD"/>
    <w:rsid w:val="006C12F7"/>
    <w:rsid w:val="006C1E43"/>
    <w:rsid w:val="006C208B"/>
    <w:rsid w:val="006C25A6"/>
    <w:rsid w:val="006C3CF0"/>
    <w:rsid w:val="006C401B"/>
    <w:rsid w:val="006C43EC"/>
    <w:rsid w:val="006C4DB1"/>
    <w:rsid w:val="006C52D3"/>
    <w:rsid w:val="006C5E92"/>
    <w:rsid w:val="006C62CB"/>
    <w:rsid w:val="006C69AD"/>
    <w:rsid w:val="006C73A6"/>
    <w:rsid w:val="006C7433"/>
    <w:rsid w:val="006C74AC"/>
    <w:rsid w:val="006C7CDE"/>
    <w:rsid w:val="006C7E99"/>
    <w:rsid w:val="006D00DC"/>
    <w:rsid w:val="006D0460"/>
    <w:rsid w:val="006D0B13"/>
    <w:rsid w:val="006D1229"/>
    <w:rsid w:val="006D17A0"/>
    <w:rsid w:val="006D20D2"/>
    <w:rsid w:val="006D23CC"/>
    <w:rsid w:val="006D2A4E"/>
    <w:rsid w:val="006D31EA"/>
    <w:rsid w:val="006D35D9"/>
    <w:rsid w:val="006D4400"/>
    <w:rsid w:val="006D46F8"/>
    <w:rsid w:val="006D549E"/>
    <w:rsid w:val="006D6597"/>
    <w:rsid w:val="006D6B81"/>
    <w:rsid w:val="006D6B85"/>
    <w:rsid w:val="006D7061"/>
    <w:rsid w:val="006E0F2F"/>
    <w:rsid w:val="006E273C"/>
    <w:rsid w:val="006E360B"/>
    <w:rsid w:val="006E362E"/>
    <w:rsid w:val="006E3B27"/>
    <w:rsid w:val="006E3F9C"/>
    <w:rsid w:val="006E47F9"/>
    <w:rsid w:val="006E4885"/>
    <w:rsid w:val="006E48A2"/>
    <w:rsid w:val="006E57FD"/>
    <w:rsid w:val="006E5F84"/>
    <w:rsid w:val="006E600A"/>
    <w:rsid w:val="006E69E9"/>
    <w:rsid w:val="006E74AB"/>
    <w:rsid w:val="006F0480"/>
    <w:rsid w:val="006F0976"/>
    <w:rsid w:val="006F0B48"/>
    <w:rsid w:val="006F1ADE"/>
    <w:rsid w:val="006F25C7"/>
    <w:rsid w:val="006F3853"/>
    <w:rsid w:val="006F38A2"/>
    <w:rsid w:val="006F3DA3"/>
    <w:rsid w:val="006F4D20"/>
    <w:rsid w:val="006F55CD"/>
    <w:rsid w:val="006F59C9"/>
    <w:rsid w:val="006F61BD"/>
    <w:rsid w:val="006F727E"/>
    <w:rsid w:val="006F74F2"/>
    <w:rsid w:val="00700C39"/>
    <w:rsid w:val="0070178E"/>
    <w:rsid w:val="00702884"/>
    <w:rsid w:val="0070317C"/>
    <w:rsid w:val="007031BA"/>
    <w:rsid w:val="007037DF"/>
    <w:rsid w:val="00703A60"/>
    <w:rsid w:val="00704AC6"/>
    <w:rsid w:val="007051E2"/>
    <w:rsid w:val="007053AB"/>
    <w:rsid w:val="00705D01"/>
    <w:rsid w:val="00706ADC"/>
    <w:rsid w:val="00706C10"/>
    <w:rsid w:val="00707B81"/>
    <w:rsid w:val="00707BF0"/>
    <w:rsid w:val="00710CB5"/>
    <w:rsid w:val="00711518"/>
    <w:rsid w:val="00711C75"/>
    <w:rsid w:val="00712468"/>
    <w:rsid w:val="007129BE"/>
    <w:rsid w:val="00713237"/>
    <w:rsid w:val="00713783"/>
    <w:rsid w:val="00713964"/>
    <w:rsid w:val="00714530"/>
    <w:rsid w:val="0071497F"/>
    <w:rsid w:val="00714DF4"/>
    <w:rsid w:val="00715049"/>
    <w:rsid w:val="0071504D"/>
    <w:rsid w:val="0071579D"/>
    <w:rsid w:val="00716454"/>
    <w:rsid w:val="00716EE5"/>
    <w:rsid w:val="00717746"/>
    <w:rsid w:val="0071794A"/>
    <w:rsid w:val="00720DF0"/>
    <w:rsid w:val="00721279"/>
    <w:rsid w:val="007213BB"/>
    <w:rsid w:val="00721BC1"/>
    <w:rsid w:val="00722953"/>
    <w:rsid w:val="00722C3E"/>
    <w:rsid w:val="00723256"/>
    <w:rsid w:val="00723840"/>
    <w:rsid w:val="0072407A"/>
    <w:rsid w:val="00724ECC"/>
    <w:rsid w:val="00725228"/>
    <w:rsid w:val="0072539E"/>
    <w:rsid w:val="00725BE1"/>
    <w:rsid w:val="00725E72"/>
    <w:rsid w:val="0072612A"/>
    <w:rsid w:val="0072769E"/>
    <w:rsid w:val="00727BC7"/>
    <w:rsid w:val="00730603"/>
    <w:rsid w:val="007312EB"/>
    <w:rsid w:val="00731843"/>
    <w:rsid w:val="00731BA4"/>
    <w:rsid w:val="00732618"/>
    <w:rsid w:val="00732B9E"/>
    <w:rsid w:val="00733972"/>
    <w:rsid w:val="0073432F"/>
    <w:rsid w:val="00734AA9"/>
    <w:rsid w:val="007358E8"/>
    <w:rsid w:val="00735B96"/>
    <w:rsid w:val="00735E30"/>
    <w:rsid w:val="0073618C"/>
    <w:rsid w:val="0073621D"/>
    <w:rsid w:val="00737326"/>
    <w:rsid w:val="0073752B"/>
    <w:rsid w:val="00740911"/>
    <w:rsid w:val="00740D0C"/>
    <w:rsid w:val="007419ED"/>
    <w:rsid w:val="00742100"/>
    <w:rsid w:val="00742392"/>
    <w:rsid w:val="007424DB"/>
    <w:rsid w:val="00742B5D"/>
    <w:rsid w:val="00742C94"/>
    <w:rsid w:val="00743193"/>
    <w:rsid w:val="00743372"/>
    <w:rsid w:val="007436CA"/>
    <w:rsid w:val="00743833"/>
    <w:rsid w:val="007439FA"/>
    <w:rsid w:val="00744EF7"/>
    <w:rsid w:val="007463EF"/>
    <w:rsid w:val="00746F0C"/>
    <w:rsid w:val="007502DD"/>
    <w:rsid w:val="0075093C"/>
    <w:rsid w:val="0075260C"/>
    <w:rsid w:val="00752C4B"/>
    <w:rsid w:val="0075312D"/>
    <w:rsid w:val="0075341E"/>
    <w:rsid w:val="007535BA"/>
    <w:rsid w:val="00754846"/>
    <w:rsid w:val="0075592F"/>
    <w:rsid w:val="007565A5"/>
    <w:rsid w:val="007575CC"/>
    <w:rsid w:val="007578A1"/>
    <w:rsid w:val="00757B46"/>
    <w:rsid w:val="00757F9A"/>
    <w:rsid w:val="007603E4"/>
    <w:rsid w:val="0076046D"/>
    <w:rsid w:val="00760ECC"/>
    <w:rsid w:val="00761510"/>
    <w:rsid w:val="0076183D"/>
    <w:rsid w:val="00761BA3"/>
    <w:rsid w:val="00761BB7"/>
    <w:rsid w:val="007620A0"/>
    <w:rsid w:val="007621AA"/>
    <w:rsid w:val="007626E7"/>
    <w:rsid w:val="007652A0"/>
    <w:rsid w:val="00765C1A"/>
    <w:rsid w:val="00767D45"/>
    <w:rsid w:val="0077083F"/>
    <w:rsid w:val="00771647"/>
    <w:rsid w:val="00771ACF"/>
    <w:rsid w:val="00771C57"/>
    <w:rsid w:val="00771D82"/>
    <w:rsid w:val="00771E96"/>
    <w:rsid w:val="00772189"/>
    <w:rsid w:val="00772A4D"/>
    <w:rsid w:val="00772A56"/>
    <w:rsid w:val="00772FC5"/>
    <w:rsid w:val="0077328A"/>
    <w:rsid w:val="00773DED"/>
    <w:rsid w:val="0077550C"/>
    <w:rsid w:val="00775A2E"/>
    <w:rsid w:val="00775EC1"/>
    <w:rsid w:val="00776D53"/>
    <w:rsid w:val="00776F68"/>
    <w:rsid w:val="0077717C"/>
    <w:rsid w:val="00780616"/>
    <w:rsid w:val="007808B1"/>
    <w:rsid w:val="00780BBF"/>
    <w:rsid w:val="00781722"/>
    <w:rsid w:val="0078222B"/>
    <w:rsid w:val="00782F44"/>
    <w:rsid w:val="00782F84"/>
    <w:rsid w:val="007836B4"/>
    <w:rsid w:val="007859CC"/>
    <w:rsid w:val="007879B2"/>
    <w:rsid w:val="00787BC9"/>
    <w:rsid w:val="007904CA"/>
    <w:rsid w:val="00790892"/>
    <w:rsid w:val="007914B7"/>
    <w:rsid w:val="00792DBC"/>
    <w:rsid w:val="00793FAE"/>
    <w:rsid w:val="007943B1"/>
    <w:rsid w:val="0079544B"/>
    <w:rsid w:val="00796D49"/>
    <w:rsid w:val="00796E09"/>
    <w:rsid w:val="007A1636"/>
    <w:rsid w:val="007A1822"/>
    <w:rsid w:val="007A23B3"/>
    <w:rsid w:val="007A2AD4"/>
    <w:rsid w:val="007A30C0"/>
    <w:rsid w:val="007A4BDE"/>
    <w:rsid w:val="007A562F"/>
    <w:rsid w:val="007A5ACB"/>
    <w:rsid w:val="007A7220"/>
    <w:rsid w:val="007A743F"/>
    <w:rsid w:val="007B0359"/>
    <w:rsid w:val="007B045C"/>
    <w:rsid w:val="007B0824"/>
    <w:rsid w:val="007B0AC6"/>
    <w:rsid w:val="007B1A95"/>
    <w:rsid w:val="007B1B89"/>
    <w:rsid w:val="007B1D1E"/>
    <w:rsid w:val="007B3076"/>
    <w:rsid w:val="007B492C"/>
    <w:rsid w:val="007B4EA8"/>
    <w:rsid w:val="007B5476"/>
    <w:rsid w:val="007B5663"/>
    <w:rsid w:val="007B56A3"/>
    <w:rsid w:val="007B5A1B"/>
    <w:rsid w:val="007B5C3E"/>
    <w:rsid w:val="007B63EA"/>
    <w:rsid w:val="007B70E6"/>
    <w:rsid w:val="007B7CB4"/>
    <w:rsid w:val="007C0111"/>
    <w:rsid w:val="007C01AE"/>
    <w:rsid w:val="007C0EF0"/>
    <w:rsid w:val="007C2B79"/>
    <w:rsid w:val="007C343D"/>
    <w:rsid w:val="007C3BBE"/>
    <w:rsid w:val="007C52A1"/>
    <w:rsid w:val="007C52C3"/>
    <w:rsid w:val="007C55C9"/>
    <w:rsid w:val="007C649F"/>
    <w:rsid w:val="007C6FE4"/>
    <w:rsid w:val="007C70C5"/>
    <w:rsid w:val="007C73CC"/>
    <w:rsid w:val="007D009C"/>
    <w:rsid w:val="007D00E9"/>
    <w:rsid w:val="007D0C75"/>
    <w:rsid w:val="007D0DA7"/>
    <w:rsid w:val="007D2A6E"/>
    <w:rsid w:val="007D2D6E"/>
    <w:rsid w:val="007D36E4"/>
    <w:rsid w:val="007D456F"/>
    <w:rsid w:val="007D47E0"/>
    <w:rsid w:val="007D5A58"/>
    <w:rsid w:val="007E03B7"/>
    <w:rsid w:val="007E0B56"/>
    <w:rsid w:val="007E12AD"/>
    <w:rsid w:val="007E212B"/>
    <w:rsid w:val="007E409E"/>
    <w:rsid w:val="007E4778"/>
    <w:rsid w:val="007E4875"/>
    <w:rsid w:val="007E5088"/>
    <w:rsid w:val="007E6256"/>
    <w:rsid w:val="007E7761"/>
    <w:rsid w:val="007F0008"/>
    <w:rsid w:val="007F000A"/>
    <w:rsid w:val="007F038D"/>
    <w:rsid w:val="007F097F"/>
    <w:rsid w:val="007F163F"/>
    <w:rsid w:val="007F1DAE"/>
    <w:rsid w:val="007F2017"/>
    <w:rsid w:val="007F3513"/>
    <w:rsid w:val="007F366C"/>
    <w:rsid w:val="007F39A7"/>
    <w:rsid w:val="007F3E9B"/>
    <w:rsid w:val="007F4AC2"/>
    <w:rsid w:val="007F57DA"/>
    <w:rsid w:val="007F5E29"/>
    <w:rsid w:val="007F7021"/>
    <w:rsid w:val="008000E4"/>
    <w:rsid w:val="008003D2"/>
    <w:rsid w:val="008007CC"/>
    <w:rsid w:val="00800906"/>
    <w:rsid w:val="00800D0B"/>
    <w:rsid w:val="00801497"/>
    <w:rsid w:val="00801C4F"/>
    <w:rsid w:val="00802506"/>
    <w:rsid w:val="00802B53"/>
    <w:rsid w:val="00802F94"/>
    <w:rsid w:val="0080341C"/>
    <w:rsid w:val="0080424B"/>
    <w:rsid w:val="0080431D"/>
    <w:rsid w:val="008051FB"/>
    <w:rsid w:val="008054B4"/>
    <w:rsid w:val="0080550A"/>
    <w:rsid w:val="008063C6"/>
    <w:rsid w:val="00806ECB"/>
    <w:rsid w:val="00807412"/>
    <w:rsid w:val="00807934"/>
    <w:rsid w:val="00807FCE"/>
    <w:rsid w:val="00811477"/>
    <w:rsid w:val="00811EDF"/>
    <w:rsid w:val="00812788"/>
    <w:rsid w:val="00812C8F"/>
    <w:rsid w:val="00812CEA"/>
    <w:rsid w:val="00813991"/>
    <w:rsid w:val="008147C6"/>
    <w:rsid w:val="00814881"/>
    <w:rsid w:val="00814D12"/>
    <w:rsid w:val="0081517B"/>
    <w:rsid w:val="00816A14"/>
    <w:rsid w:val="0081720F"/>
    <w:rsid w:val="00817CC2"/>
    <w:rsid w:val="0082070E"/>
    <w:rsid w:val="00820748"/>
    <w:rsid w:val="00821105"/>
    <w:rsid w:val="0082235E"/>
    <w:rsid w:val="00822472"/>
    <w:rsid w:val="00822FCE"/>
    <w:rsid w:val="0082319A"/>
    <w:rsid w:val="0082343B"/>
    <w:rsid w:val="008236BD"/>
    <w:rsid w:val="008238F2"/>
    <w:rsid w:val="0082397E"/>
    <w:rsid w:val="00824225"/>
    <w:rsid w:val="008242B7"/>
    <w:rsid w:val="0082472E"/>
    <w:rsid w:val="00824BE6"/>
    <w:rsid w:val="00825163"/>
    <w:rsid w:val="008258A1"/>
    <w:rsid w:val="00825EF7"/>
    <w:rsid w:val="00826C5D"/>
    <w:rsid w:val="00827037"/>
    <w:rsid w:val="00827F8E"/>
    <w:rsid w:val="008306F5"/>
    <w:rsid w:val="008309F6"/>
    <w:rsid w:val="00830A18"/>
    <w:rsid w:val="00830DBE"/>
    <w:rsid w:val="00832BBC"/>
    <w:rsid w:val="00832DAB"/>
    <w:rsid w:val="00833417"/>
    <w:rsid w:val="0083348C"/>
    <w:rsid w:val="00834DC9"/>
    <w:rsid w:val="00836033"/>
    <w:rsid w:val="00836603"/>
    <w:rsid w:val="008366DF"/>
    <w:rsid w:val="00837253"/>
    <w:rsid w:val="0083787D"/>
    <w:rsid w:val="008412DE"/>
    <w:rsid w:val="00841AE0"/>
    <w:rsid w:val="00841CC2"/>
    <w:rsid w:val="00842E23"/>
    <w:rsid w:val="00842EF4"/>
    <w:rsid w:val="008438AF"/>
    <w:rsid w:val="00843A7A"/>
    <w:rsid w:val="00843A9A"/>
    <w:rsid w:val="00843F73"/>
    <w:rsid w:val="008443A0"/>
    <w:rsid w:val="008443AC"/>
    <w:rsid w:val="008444DC"/>
    <w:rsid w:val="00844F68"/>
    <w:rsid w:val="00845043"/>
    <w:rsid w:val="008450CE"/>
    <w:rsid w:val="0084555F"/>
    <w:rsid w:val="0084568F"/>
    <w:rsid w:val="00845ADF"/>
    <w:rsid w:val="00845C0C"/>
    <w:rsid w:val="0084690F"/>
    <w:rsid w:val="00846A61"/>
    <w:rsid w:val="00850677"/>
    <w:rsid w:val="00852D46"/>
    <w:rsid w:val="00852EE3"/>
    <w:rsid w:val="00853519"/>
    <w:rsid w:val="00853BE2"/>
    <w:rsid w:val="008543CF"/>
    <w:rsid w:val="008545CE"/>
    <w:rsid w:val="00854D5A"/>
    <w:rsid w:val="00855249"/>
    <w:rsid w:val="00855696"/>
    <w:rsid w:val="008561C7"/>
    <w:rsid w:val="00856868"/>
    <w:rsid w:val="00856CFC"/>
    <w:rsid w:val="00856DCA"/>
    <w:rsid w:val="0085737A"/>
    <w:rsid w:val="00857C52"/>
    <w:rsid w:val="00860F0C"/>
    <w:rsid w:val="0086112B"/>
    <w:rsid w:val="00861CA0"/>
    <w:rsid w:val="00861DC9"/>
    <w:rsid w:val="00862227"/>
    <w:rsid w:val="00863018"/>
    <w:rsid w:val="00863D9C"/>
    <w:rsid w:val="00864D4E"/>
    <w:rsid w:val="008654A0"/>
    <w:rsid w:val="008659B1"/>
    <w:rsid w:val="00867E6D"/>
    <w:rsid w:val="00867FF7"/>
    <w:rsid w:val="00870866"/>
    <w:rsid w:val="00871592"/>
    <w:rsid w:val="008715BD"/>
    <w:rsid w:val="00871726"/>
    <w:rsid w:val="00871AFB"/>
    <w:rsid w:val="0087216C"/>
    <w:rsid w:val="00872499"/>
    <w:rsid w:val="00875945"/>
    <w:rsid w:val="00877035"/>
    <w:rsid w:val="00877239"/>
    <w:rsid w:val="00877A89"/>
    <w:rsid w:val="00880A54"/>
    <w:rsid w:val="0088129A"/>
    <w:rsid w:val="008816FC"/>
    <w:rsid w:val="00882E75"/>
    <w:rsid w:val="00883F66"/>
    <w:rsid w:val="0088414B"/>
    <w:rsid w:val="0088483A"/>
    <w:rsid w:val="0088513B"/>
    <w:rsid w:val="00885309"/>
    <w:rsid w:val="00885A8C"/>
    <w:rsid w:val="00885B94"/>
    <w:rsid w:val="00886021"/>
    <w:rsid w:val="008879BC"/>
    <w:rsid w:val="008923FE"/>
    <w:rsid w:val="008926C4"/>
    <w:rsid w:val="00893252"/>
    <w:rsid w:val="00893728"/>
    <w:rsid w:val="00893B27"/>
    <w:rsid w:val="00893EA6"/>
    <w:rsid w:val="008947D6"/>
    <w:rsid w:val="00894C91"/>
    <w:rsid w:val="00896780"/>
    <w:rsid w:val="008967FE"/>
    <w:rsid w:val="008973A4"/>
    <w:rsid w:val="008A07B5"/>
    <w:rsid w:val="008A25C2"/>
    <w:rsid w:val="008A2A5D"/>
    <w:rsid w:val="008A353F"/>
    <w:rsid w:val="008A3C73"/>
    <w:rsid w:val="008A3E9B"/>
    <w:rsid w:val="008A4C9C"/>
    <w:rsid w:val="008A5928"/>
    <w:rsid w:val="008A6F55"/>
    <w:rsid w:val="008A7189"/>
    <w:rsid w:val="008A72F8"/>
    <w:rsid w:val="008A73FF"/>
    <w:rsid w:val="008A7ACA"/>
    <w:rsid w:val="008B056D"/>
    <w:rsid w:val="008B161A"/>
    <w:rsid w:val="008B1848"/>
    <w:rsid w:val="008B2654"/>
    <w:rsid w:val="008B2C76"/>
    <w:rsid w:val="008B3374"/>
    <w:rsid w:val="008B36E0"/>
    <w:rsid w:val="008B37A2"/>
    <w:rsid w:val="008B4825"/>
    <w:rsid w:val="008B56FA"/>
    <w:rsid w:val="008B59F5"/>
    <w:rsid w:val="008B5DF5"/>
    <w:rsid w:val="008B6B86"/>
    <w:rsid w:val="008B6E29"/>
    <w:rsid w:val="008B6EF5"/>
    <w:rsid w:val="008C0ABD"/>
    <w:rsid w:val="008C1B0F"/>
    <w:rsid w:val="008C2467"/>
    <w:rsid w:val="008C3F32"/>
    <w:rsid w:val="008C4995"/>
    <w:rsid w:val="008C52DF"/>
    <w:rsid w:val="008C6785"/>
    <w:rsid w:val="008C696D"/>
    <w:rsid w:val="008D0E4B"/>
    <w:rsid w:val="008D1836"/>
    <w:rsid w:val="008D2849"/>
    <w:rsid w:val="008D2A20"/>
    <w:rsid w:val="008D384A"/>
    <w:rsid w:val="008D39B6"/>
    <w:rsid w:val="008D3D0C"/>
    <w:rsid w:val="008D48BC"/>
    <w:rsid w:val="008D50EA"/>
    <w:rsid w:val="008D5880"/>
    <w:rsid w:val="008D5A49"/>
    <w:rsid w:val="008D5E79"/>
    <w:rsid w:val="008E010E"/>
    <w:rsid w:val="008E12B7"/>
    <w:rsid w:val="008E2235"/>
    <w:rsid w:val="008E27E9"/>
    <w:rsid w:val="008E349F"/>
    <w:rsid w:val="008E4265"/>
    <w:rsid w:val="008E48E6"/>
    <w:rsid w:val="008E543B"/>
    <w:rsid w:val="008E5F09"/>
    <w:rsid w:val="008E66F5"/>
    <w:rsid w:val="008E6F4B"/>
    <w:rsid w:val="008F049F"/>
    <w:rsid w:val="008F09FD"/>
    <w:rsid w:val="008F0AF4"/>
    <w:rsid w:val="008F1755"/>
    <w:rsid w:val="008F28C2"/>
    <w:rsid w:val="008F2D18"/>
    <w:rsid w:val="008F35C5"/>
    <w:rsid w:val="008F370D"/>
    <w:rsid w:val="008F5534"/>
    <w:rsid w:val="008F5ABC"/>
    <w:rsid w:val="008F5CB5"/>
    <w:rsid w:val="008F5CF1"/>
    <w:rsid w:val="008F70EA"/>
    <w:rsid w:val="009018A2"/>
    <w:rsid w:val="00901A3D"/>
    <w:rsid w:val="00901F5A"/>
    <w:rsid w:val="00902ADD"/>
    <w:rsid w:val="00902FDF"/>
    <w:rsid w:val="0090320E"/>
    <w:rsid w:val="009039C6"/>
    <w:rsid w:val="00903E0D"/>
    <w:rsid w:val="009045D6"/>
    <w:rsid w:val="009048F4"/>
    <w:rsid w:val="0090500F"/>
    <w:rsid w:val="00905051"/>
    <w:rsid w:val="00906001"/>
    <w:rsid w:val="00906181"/>
    <w:rsid w:val="00906474"/>
    <w:rsid w:val="00906C03"/>
    <w:rsid w:val="00907496"/>
    <w:rsid w:val="00907F22"/>
    <w:rsid w:val="009109C9"/>
    <w:rsid w:val="00910C6C"/>
    <w:rsid w:val="00910D73"/>
    <w:rsid w:val="0091107B"/>
    <w:rsid w:val="009115F8"/>
    <w:rsid w:val="00912AE0"/>
    <w:rsid w:val="009134AD"/>
    <w:rsid w:val="009153F6"/>
    <w:rsid w:val="00915A09"/>
    <w:rsid w:val="00915BB2"/>
    <w:rsid w:val="00915CFA"/>
    <w:rsid w:val="00916409"/>
    <w:rsid w:val="0091776D"/>
    <w:rsid w:val="00922A17"/>
    <w:rsid w:val="00922B57"/>
    <w:rsid w:val="009231D7"/>
    <w:rsid w:val="00923C0E"/>
    <w:rsid w:val="00924815"/>
    <w:rsid w:val="009249FC"/>
    <w:rsid w:val="0092577F"/>
    <w:rsid w:val="00926DE9"/>
    <w:rsid w:val="00927EEC"/>
    <w:rsid w:val="0093101F"/>
    <w:rsid w:val="00932402"/>
    <w:rsid w:val="00932DF8"/>
    <w:rsid w:val="00933450"/>
    <w:rsid w:val="00933B18"/>
    <w:rsid w:val="0093460C"/>
    <w:rsid w:val="0093505E"/>
    <w:rsid w:val="00935073"/>
    <w:rsid w:val="009357F5"/>
    <w:rsid w:val="00935B89"/>
    <w:rsid w:val="009362AC"/>
    <w:rsid w:val="00936459"/>
    <w:rsid w:val="00936AD9"/>
    <w:rsid w:val="00937684"/>
    <w:rsid w:val="00937712"/>
    <w:rsid w:val="00937B75"/>
    <w:rsid w:val="0094038E"/>
    <w:rsid w:val="009403B5"/>
    <w:rsid w:val="009404FA"/>
    <w:rsid w:val="00940978"/>
    <w:rsid w:val="00941B8E"/>
    <w:rsid w:val="0094204E"/>
    <w:rsid w:val="0094208A"/>
    <w:rsid w:val="009434C8"/>
    <w:rsid w:val="00943A40"/>
    <w:rsid w:val="00943C32"/>
    <w:rsid w:val="00944758"/>
    <w:rsid w:val="00944B5B"/>
    <w:rsid w:val="009453DF"/>
    <w:rsid w:val="00945E08"/>
    <w:rsid w:val="00946219"/>
    <w:rsid w:val="0094637F"/>
    <w:rsid w:val="00946633"/>
    <w:rsid w:val="00946CCC"/>
    <w:rsid w:val="009470F5"/>
    <w:rsid w:val="0095083B"/>
    <w:rsid w:val="00950CD6"/>
    <w:rsid w:val="009516D0"/>
    <w:rsid w:val="00951A44"/>
    <w:rsid w:val="00951ED0"/>
    <w:rsid w:val="009532F1"/>
    <w:rsid w:val="00953ECC"/>
    <w:rsid w:val="009549FF"/>
    <w:rsid w:val="009551F7"/>
    <w:rsid w:val="00956F1A"/>
    <w:rsid w:val="0095709C"/>
    <w:rsid w:val="0095725F"/>
    <w:rsid w:val="009573B0"/>
    <w:rsid w:val="00960ABD"/>
    <w:rsid w:val="00963ACA"/>
    <w:rsid w:val="00964400"/>
    <w:rsid w:val="009647C3"/>
    <w:rsid w:val="00964D5C"/>
    <w:rsid w:val="00965F70"/>
    <w:rsid w:val="0096771C"/>
    <w:rsid w:val="00970D72"/>
    <w:rsid w:val="009718A9"/>
    <w:rsid w:val="00971FF8"/>
    <w:rsid w:val="009733A2"/>
    <w:rsid w:val="00973BE1"/>
    <w:rsid w:val="00974015"/>
    <w:rsid w:val="00974152"/>
    <w:rsid w:val="00974417"/>
    <w:rsid w:val="00975BA6"/>
    <w:rsid w:val="00975FA4"/>
    <w:rsid w:val="00980664"/>
    <w:rsid w:val="009807EF"/>
    <w:rsid w:val="009815AF"/>
    <w:rsid w:val="009824E6"/>
    <w:rsid w:val="00983551"/>
    <w:rsid w:val="00986211"/>
    <w:rsid w:val="00986D28"/>
    <w:rsid w:val="00986D2C"/>
    <w:rsid w:val="0098791C"/>
    <w:rsid w:val="00990417"/>
    <w:rsid w:val="00990633"/>
    <w:rsid w:val="00990A75"/>
    <w:rsid w:val="00992DCA"/>
    <w:rsid w:val="009936B4"/>
    <w:rsid w:val="00994160"/>
    <w:rsid w:val="009955AC"/>
    <w:rsid w:val="00995CF0"/>
    <w:rsid w:val="00996915"/>
    <w:rsid w:val="00997510"/>
    <w:rsid w:val="00997569"/>
    <w:rsid w:val="00997DDD"/>
    <w:rsid w:val="009A0B46"/>
    <w:rsid w:val="009A1034"/>
    <w:rsid w:val="009A12CF"/>
    <w:rsid w:val="009A13F5"/>
    <w:rsid w:val="009A13F6"/>
    <w:rsid w:val="009A166C"/>
    <w:rsid w:val="009A2DEE"/>
    <w:rsid w:val="009A32D9"/>
    <w:rsid w:val="009A33C2"/>
    <w:rsid w:val="009A3583"/>
    <w:rsid w:val="009A37B7"/>
    <w:rsid w:val="009A3BD1"/>
    <w:rsid w:val="009A43E5"/>
    <w:rsid w:val="009A44E9"/>
    <w:rsid w:val="009A4AB1"/>
    <w:rsid w:val="009A4FD1"/>
    <w:rsid w:val="009A5069"/>
    <w:rsid w:val="009A55B4"/>
    <w:rsid w:val="009A62DD"/>
    <w:rsid w:val="009A73C4"/>
    <w:rsid w:val="009B1517"/>
    <w:rsid w:val="009B1E03"/>
    <w:rsid w:val="009B254A"/>
    <w:rsid w:val="009B4E79"/>
    <w:rsid w:val="009B4F5A"/>
    <w:rsid w:val="009B54D6"/>
    <w:rsid w:val="009B5C53"/>
    <w:rsid w:val="009B5F90"/>
    <w:rsid w:val="009B631D"/>
    <w:rsid w:val="009B640B"/>
    <w:rsid w:val="009B7916"/>
    <w:rsid w:val="009B7ED3"/>
    <w:rsid w:val="009C0111"/>
    <w:rsid w:val="009C031E"/>
    <w:rsid w:val="009C07BE"/>
    <w:rsid w:val="009C0861"/>
    <w:rsid w:val="009C1544"/>
    <w:rsid w:val="009C2530"/>
    <w:rsid w:val="009C2E2C"/>
    <w:rsid w:val="009C34B3"/>
    <w:rsid w:val="009C34F6"/>
    <w:rsid w:val="009C396E"/>
    <w:rsid w:val="009C49F4"/>
    <w:rsid w:val="009C5B19"/>
    <w:rsid w:val="009C796A"/>
    <w:rsid w:val="009D026A"/>
    <w:rsid w:val="009D0862"/>
    <w:rsid w:val="009D1898"/>
    <w:rsid w:val="009D1FCE"/>
    <w:rsid w:val="009D225D"/>
    <w:rsid w:val="009D4698"/>
    <w:rsid w:val="009D4DE5"/>
    <w:rsid w:val="009D4FDA"/>
    <w:rsid w:val="009D54E9"/>
    <w:rsid w:val="009D5755"/>
    <w:rsid w:val="009D59BF"/>
    <w:rsid w:val="009D605A"/>
    <w:rsid w:val="009D711F"/>
    <w:rsid w:val="009D729F"/>
    <w:rsid w:val="009E01FD"/>
    <w:rsid w:val="009E068C"/>
    <w:rsid w:val="009E0A33"/>
    <w:rsid w:val="009E1EE1"/>
    <w:rsid w:val="009E21F6"/>
    <w:rsid w:val="009E274D"/>
    <w:rsid w:val="009E2CA2"/>
    <w:rsid w:val="009E3285"/>
    <w:rsid w:val="009E3A7B"/>
    <w:rsid w:val="009E4329"/>
    <w:rsid w:val="009E48B9"/>
    <w:rsid w:val="009E576E"/>
    <w:rsid w:val="009E5A4F"/>
    <w:rsid w:val="009E61E0"/>
    <w:rsid w:val="009E64E5"/>
    <w:rsid w:val="009E6860"/>
    <w:rsid w:val="009E72D0"/>
    <w:rsid w:val="009E75AA"/>
    <w:rsid w:val="009E7A16"/>
    <w:rsid w:val="009F0118"/>
    <w:rsid w:val="009F0DE7"/>
    <w:rsid w:val="009F193F"/>
    <w:rsid w:val="009F1EA1"/>
    <w:rsid w:val="009F2061"/>
    <w:rsid w:val="009F2928"/>
    <w:rsid w:val="009F3422"/>
    <w:rsid w:val="009F3F53"/>
    <w:rsid w:val="009F42DB"/>
    <w:rsid w:val="009F5096"/>
    <w:rsid w:val="009F55CB"/>
    <w:rsid w:val="009F5E07"/>
    <w:rsid w:val="009F665C"/>
    <w:rsid w:val="009F6A99"/>
    <w:rsid w:val="009F700B"/>
    <w:rsid w:val="009F714D"/>
    <w:rsid w:val="009F7164"/>
    <w:rsid w:val="009F73B5"/>
    <w:rsid w:val="009F7AD5"/>
    <w:rsid w:val="00A00857"/>
    <w:rsid w:val="00A02D1D"/>
    <w:rsid w:val="00A03CB7"/>
    <w:rsid w:val="00A03E49"/>
    <w:rsid w:val="00A0416C"/>
    <w:rsid w:val="00A044F7"/>
    <w:rsid w:val="00A04AB1"/>
    <w:rsid w:val="00A04DD9"/>
    <w:rsid w:val="00A050AD"/>
    <w:rsid w:val="00A06F91"/>
    <w:rsid w:val="00A072A1"/>
    <w:rsid w:val="00A07723"/>
    <w:rsid w:val="00A07A71"/>
    <w:rsid w:val="00A07B4B"/>
    <w:rsid w:val="00A07F67"/>
    <w:rsid w:val="00A10B07"/>
    <w:rsid w:val="00A1132C"/>
    <w:rsid w:val="00A113D1"/>
    <w:rsid w:val="00A15568"/>
    <w:rsid w:val="00A156C5"/>
    <w:rsid w:val="00A1751A"/>
    <w:rsid w:val="00A20FDD"/>
    <w:rsid w:val="00A22454"/>
    <w:rsid w:val="00A23342"/>
    <w:rsid w:val="00A238A0"/>
    <w:rsid w:val="00A247AE"/>
    <w:rsid w:val="00A24F54"/>
    <w:rsid w:val="00A2559E"/>
    <w:rsid w:val="00A25660"/>
    <w:rsid w:val="00A25AB1"/>
    <w:rsid w:val="00A25CDE"/>
    <w:rsid w:val="00A25E45"/>
    <w:rsid w:val="00A2694E"/>
    <w:rsid w:val="00A26A05"/>
    <w:rsid w:val="00A27363"/>
    <w:rsid w:val="00A27A5C"/>
    <w:rsid w:val="00A30626"/>
    <w:rsid w:val="00A30954"/>
    <w:rsid w:val="00A31064"/>
    <w:rsid w:val="00A31523"/>
    <w:rsid w:val="00A31679"/>
    <w:rsid w:val="00A3229A"/>
    <w:rsid w:val="00A32460"/>
    <w:rsid w:val="00A32777"/>
    <w:rsid w:val="00A336CF"/>
    <w:rsid w:val="00A33A49"/>
    <w:rsid w:val="00A342DC"/>
    <w:rsid w:val="00A347B4"/>
    <w:rsid w:val="00A34BD2"/>
    <w:rsid w:val="00A34DD4"/>
    <w:rsid w:val="00A35D2E"/>
    <w:rsid w:val="00A35F42"/>
    <w:rsid w:val="00A36559"/>
    <w:rsid w:val="00A365F2"/>
    <w:rsid w:val="00A36A99"/>
    <w:rsid w:val="00A37130"/>
    <w:rsid w:val="00A3724B"/>
    <w:rsid w:val="00A37713"/>
    <w:rsid w:val="00A37AF8"/>
    <w:rsid w:val="00A37E76"/>
    <w:rsid w:val="00A37E77"/>
    <w:rsid w:val="00A37F36"/>
    <w:rsid w:val="00A40AF6"/>
    <w:rsid w:val="00A4153E"/>
    <w:rsid w:val="00A4533F"/>
    <w:rsid w:val="00A51951"/>
    <w:rsid w:val="00A52BFC"/>
    <w:rsid w:val="00A52CE1"/>
    <w:rsid w:val="00A5397A"/>
    <w:rsid w:val="00A53CAF"/>
    <w:rsid w:val="00A5404B"/>
    <w:rsid w:val="00A54A06"/>
    <w:rsid w:val="00A55576"/>
    <w:rsid w:val="00A55BA9"/>
    <w:rsid w:val="00A5691C"/>
    <w:rsid w:val="00A56E05"/>
    <w:rsid w:val="00A56FE5"/>
    <w:rsid w:val="00A574E8"/>
    <w:rsid w:val="00A57BFA"/>
    <w:rsid w:val="00A6008C"/>
    <w:rsid w:val="00A601D3"/>
    <w:rsid w:val="00A61162"/>
    <w:rsid w:val="00A61F0E"/>
    <w:rsid w:val="00A62B60"/>
    <w:rsid w:val="00A62E41"/>
    <w:rsid w:val="00A63830"/>
    <w:rsid w:val="00A64C3C"/>
    <w:rsid w:val="00A65458"/>
    <w:rsid w:val="00A675B4"/>
    <w:rsid w:val="00A67CE8"/>
    <w:rsid w:val="00A67CFB"/>
    <w:rsid w:val="00A67E55"/>
    <w:rsid w:val="00A7037F"/>
    <w:rsid w:val="00A70898"/>
    <w:rsid w:val="00A71012"/>
    <w:rsid w:val="00A71B3F"/>
    <w:rsid w:val="00A71C4F"/>
    <w:rsid w:val="00A71E18"/>
    <w:rsid w:val="00A720B7"/>
    <w:rsid w:val="00A72141"/>
    <w:rsid w:val="00A74076"/>
    <w:rsid w:val="00A7498C"/>
    <w:rsid w:val="00A75E51"/>
    <w:rsid w:val="00A76D3F"/>
    <w:rsid w:val="00A76DBA"/>
    <w:rsid w:val="00A77DED"/>
    <w:rsid w:val="00A81142"/>
    <w:rsid w:val="00A815E7"/>
    <w:rsid w:val="00A824AE"/>
    <w:rsid w:val="00A8267A"/>
    <w:rsid w:val="00A827F9"/>
    <w:rsid w:val="00A84127"/>
    <w:rsid w:val="00A84B4F"/>
    <w:rsid w:val="00A84BE0"/>
    <w:rsid w:val="00A85BD2"/>
    <w:rsid w:val="00A85ECE"/>
    <w:rsid w:val="00A86513"/>
    <w:rsid w:val="00A86AE7"/>
    <w:rsid w:val="00A86D37"/>
    <w:rsid w:val="00A86F18"/>
    <w:rsid w:val="00A87188"/>
    <w:rsid w:val="00A87725"/>
    <w:rsid w:val="00A87745"/>
    <w:rsid w:val="00A90008"/>
    <w:rsid w:val="00A91217"/>
    <w:rsid w:val="00A916A0"/>
    <w:rsid w:val="00A91EB8"/>
    <w:rsid w:val="00A9373B"/>
    <w:rsid w:val="00A94333"/>
    <w:rsid w:val="00A943E5"/>
    <w:rsid w:val="00A9568B"/>
    <w:rsid w:val="00A963D5"/>
    <w:rsid w:val="00A967EC"/>
    <w:rsid w:val="00A97D04"/>
    <w:rsid w:val="00AA0203"/>
    <w:rsid w:val="00AA0AA6"/>
    <w:rsid w:val="00AA118D"/>
    <w:rsid w:val="00AA3098"/>
    <w:rsid w:val="00AA3622"/>
    <w:rsid w:val="00AA44B8"/>
    <w:rsid w:val="00AA4D9B"/>
    <w:rsid w:val="00AA567A"/>
    <w:rsid w:val="00AA606C"/>
    <w:rsid w:val="00AA65C3"/>
    <w:rsid w:val="00AA660E"/>
    <w:rsid w:val="00AA7D41"/>
    <w:rsid w:val="00AB0076"/>
    <w:rsid w:val="00AB02BF"/>
    <w:rsid w:val="00AB15D3"/>
    <w:rsid w:val="00AB1980"/>
    <w:rsid w:val="00AB26ED"/>
    <w:rsid w:val="00AB2CA9"/>
    <w:rsid w:val="00AB4F2C"/>
    <w:rsid w:val="00AB61A6"/>
    <w:rsid w:val="00AB65AD"/>
    <w:rsid w:val="00AB7EBF"/>
    <w:rsid w:val="00AC03B5"/>
    <w:rsid w:val="00AC0F09"/>
    <w:rsid w:val="00AC147A"/>
    <w:rsid w:val="00AC3157"/>
    <w:rsid w:val="00AC3683"/>
    <w:rsid w:val="00AC3DB7"/>
    <w:rsid w:val="00AC4A11"/>
    <w:rsid w:val="00AC4DBE"/>
    <w:rsid w:val="00AC4F03"/>
    <w:rsid w:val="00AC5383"/>
    <w:rsid w:val="00AC5EEF"/>
    <w:rsid w:val="00AC61B1"/>
    <w:rsid w:val="00AC7125"/>
    <w:rsid w:val="00AC7876"/>
    <w:rsid w:val="00AC7A25"/>
    <w:rsid w:val="00AD073F"/>
    <w:rsid w:val="00AD094C"/>
    <w:rsid w:val="00AD0A1E"/>
    <w:rsid w:val="00AD0F9B"/>
    <w:rsid w:val="00AD179B"/>
    <w:rsid w:val="00AD1BCA"/>
    <w:rsid w:val="00AD201B"/>
    <w:rsid w:val="00AD2705"/>
    <w:rsid w:val="00AD3035"/>
    <w:rsid w:val="00AD3B85"/>
    <w:rsid w:val="00AD4188"/>
    <w:rsid w:val="00AD5AC9"/>
    <w:rsid w:val="00AD6396"/>
    <w:rsid w:val="00AD68A1"/>
    <w:rsid w:val="00AD6D36"/>
    <w:rsid w:val="00AD6ED6"/>
    <w:rsid w:val="00AD6F31"/>
    <w:rsid w:val="00AE000B"/>
    <w:rsid w:val="00AE24BA"/>
    <w:rsid w:val="00AE253C"/>
    <w:rsid w:val="00AE2F49"/>
    <w:rsid w:val="00AE3243"/>
    <w:rsid w:val="00AE3262"/>
    <w:rsid w:val="00AE3B7B"/>
    <w:rsid w:val="00AE4C50"/>
    <w:rsid w:val="00AE5401"/>
    <w:rsid w:val="00AE55B8"/>
    <w:rsid w:val="00AE7576"/>
    <w:rsid w:val="00AF0BFB"/>
    <w:rsid w:val="00AF1560"/>
    <w:rsid w:val="00AF187F"/>
    <w:rsid w:val="00AF21FE"/>
    <w:rsid w:val="00AF2499"/>
    <w:rsid w:val="00AF2F99"/>
    <w:rsid w:val="00AF3B08"/>
    <w:rsid w:val="00AF3B5B"/>
    <w:rsid w:val="00AF4350"/>
    <w:rsid w:val="00AF450F"/>
    <w:rsid w:val="00AF4E89"/>
    <w:rsid w:val="00AF597B"/>
    <w:rsid w:val="00AF5B58"/>
    <w:rsid w:val="00AF645D"/>
    <w:rsid w:val="00AF7B34"/>
    <w:rsid w:val="00B0009B"/>
    <w:rsid w:val="00B008DE"/>
    <w:rsid w:val="00B01013"/>
    <w:rsid w:val="00B014E7"/>
    <w:rsid w:val="00B02D5E"/>
    <w:rsid w:val="00B03BC2"/>
    <w:rsid w:val="00B0517F"/>
    <w:rsid w:val="00B053CE"/>
    <w:rsid w:val="00B05ADC"/>
    <w:rsid w:val="00B06811"/>
    <w:rsid w:val="00B06CD2"/>
    <w:rsid w:val="00B0728E"/>
    <w:rsid w:val="00B079B4"/>
    <w:rsid w:val="00B07F33"/>
    <w:rsid w:val="00B10D1B"/>
    <w:rsid w:val="00B11315"/>
    <w:rsid w:val="00B12AC3"/>
    <w:rsid w:val="00B130E5"/>
    <w:rsid w:val="00B130EB"/>
    <w:rsid w:val="00B13CB5"/>
    <w:rsid w:val="00B14737"/>
    <w:rsid w:val="00B16658"/>
    <w:rsid w:val="00B16C95"/>
    <w:rsid w:val="00B16F45"/>
    <w:rsid w:val="00B17342"/>
    <w:rsid w:val="00B174E3"/>
    <w:rsid w:val="00B17EF6"/>
    <w:rsid w:val="00B20552"/>
    <w:rsid w:val="00B2056D"/>
    <w:rsid w:val="00B20987"/>
    <w:rsid w:val="00B21D67"/>
    <w:rsid w:val="00B22238"/>
    <w:rsid w:val="00B22B89"/>
    <w:rsid w:val="00B239AA"/>
    <w:rsid w:val="00B24DD2"/>
    <w:rsid w:val="00B25944"/>
    <w:rsid w:val="00B26928"/>
    <w:rsid w:val="00B2707E"/>
    <w:rsid w:val="00B27DB4"/>
    <w:rsid w:val="00B301CB"/>
    <w:rsid w:val="00B3081A"/>
    <w:rsid w:val="00B30B8B"/>
    <w:rsid w:val="00B31250"/>
    <w:rsid w:val="00B31277"/>
    <w:rsid w:val="00B3138F"/>
    <w:rsid w:val="00B32E7B"/>
    <w:rsid w:val="00B33946"/>
    <w:rsid w:val="00B353C1"/>
    <w:rsid w:val="00B355B7"/>
    <w:rsid w:val="00B356FF"/>
    <w:rsid w:val="00B360F9"/>
    <w:rsid w:val="00B363C1"/>
    <w:rsid w:val="00B36C7C"/>
    <w:rsid w:val="00B36E40"/>
    <w:rsid w:val="00B37800"/>
    <w:rsid w:val="00B379EE"/>
    <w:rsid w:val="00B37AB3"/>
    <w:rsid w:val="00B400C0"/>
    <w:rsid w:val="00B40265"/>
    <w:rsid w:val="00B405CA"/>
    <w:rsid w:val="00B40724"/>
    <w:rsid w:val="00B41039"/>
    <w:rsid w:val="00B4136D"/>
    <w:rsid w:val="00B41B68"/>
    <w:rsid w:val="00B41E15"/>
    <w:rsid w:val="00B42890"/>
    <w:rsid w:val="00B42BA7"/>
    <w:rsid w:val="00B42F2B"/>
    <w:rsid w:val="00B43E56"/>
    <w:rsid w:val="00B43E9B"/>
    <w:rsid w:val="00B4529D"/>
    <w:rsid w:val="00B4580D"/>
    <w:rsid w:val="00B458B8"/>
    <w:rsid w:val="00B45AD5"/>
    <w:rsid w:val="00B45CC2"/>
    <w:rsid w:val="00B46027"/>
    <w:rsid w:val="00B46C4E"/>
    <w:rsid w:val="00B477AF"/>
    <w:rsid w:val="00B47E2A"/>
    <w:rsid w:val="00B5011A"/>
    <w:rsid w:val="00B51F81"/>
    <w:rsid w:val="00B52C11"/>
    <w:rsid w:val="00B52D64"/>
    <w:rsid w:val="00B52F6F"/>
    <w:rsid w:val="00B53E2F"/>
    <w:rsid w:val="00B543A3"/>
    <w:rsid w:val="00B57615"/>
    <w:rsid w:val="00B57938"/>
    <w:rsid w:val="00B579EC"/>
    <w:rsid w:val="00B607D4"/>
    <w:rsid w:val="00B61313"/>
    <w:rsid w:val="00B61948"/>
    <w:rsid w:val="00B639A3"/>
    <w:rsid w:val="00B64248"/>
    <w:rsid w:val="00B644B2"/>
    <w:rsid w:val="00B646A7"/>
    <w:rsid w:val="00B661C7"/>
    <w:rsid w:val="00B664C5"/>
    <w:rsid w:val="00B70423"/>
    <w:rsid w:val="00B70D6C"/>
    <w:rsid w:val="00B71E37"/>
    <w:rsid w:val="00B72FC9"/>
    <w:rsid w:val="00B74E8D"/>
    <w:rsid w:val="00B76CE9"/>
    <w:rsid w:val="00B77622"/>
    <w:rsid w:val="00B8040F"/>
    <w:rsid w:val="00B80D9A"/>
    <w:rsid w:val="00B81324"/>
    <w:rsid w:val="00B81A4B"/>
    <w:rsid w:val="00B81CF5"/>
    <w:rsid w:val="00B82123"/>
    <w:rsid w:val="00B8256B"/>
    <w:rsid w:val="00B83136"/>
    <w:rsid w:val="00B85FE9"/>
    <w:rsid w:val="00B86AC0"/>
    <w:rsid w:val="00B928D5"/>
    <w:rsid w:val="00B92B63"/>
    <w:rsid w:val="00B93F1B"/>
    <w:rsid w:val="00B94320"/>
    <w:rsid w:val="00B95015"/>
    <w:rsid w:val="00B951C4"/>
    <w:rsid w:val="00B95218"/>
    <w:rsid w:val="00B96C03"/>
    <w:rsid w:val="00B96DD7"/>
    <w:rsid w:val="00B96EDE"/>
    <w:rsid w:val="00B976C5"/>
    <w:rsid w:val="00BA004F"/>
    <w:rsid w:val="00BA1798"/>
    <w:rsid w:val="00BA183D"/>
    <w:rsid w:val="00BA1D9C"/>
    <w:rsid w:val="00BA27E3"/>
    <w:rsid w:val="00BA2848"/>
    <w:rsid w:val="00BA3745"/>
    <w:rsid w:val="00BA4E29"/>
    <w:rsid w:val="00BA52BD"/>
    <w:rsid w:val="00BA596F"/>
    <w:rsid w:val="00BA61EC"/>
    <w:rsid w:val="00BA69C1"/>
    <w:rsid w:val="00BA6B7D"/>
    <w:rsid w:val="00BA6F4B"/>
    <w:rsid w:val="00BA78ED"/>
    <w:rsid w:val="00BA7A9C"/>
    <w:rsid w:val="00BA7C5C"/>
    <w:rsid w:val="00BB04A8"/>
    <w:rsid w:val="00BB1FC6"/>
    <w:rsid w:val="00BB230E"/>
    <w:rsid w:val="00BB2694"/>
    <w:rsid w:val="00BB2894"/>
    <w:rsid w:val="00BB2D83"/>
    <w:rsid w:val="00BB324C"/>
    <w:rsid w:val="00BB334B"/>
    <w:rsid w:val="00BB33C4"/>
    <w:rsid w:val="00BB374C"/>
    <w:rsid w:val="00BB3B33"/>
    <w:rsid w:val="00BB3EE4"/>
    <w:rsid w:val="00BB401E"/>
    <w:rsid w:val="00BB4423"/>
    <w:rsid w:val="00BB6346"/>
    <w:rsid w:val="00BC0064"/>
    <w:rsid w:val="00BC1FE7"/>
    <w:rsid w:val="00BC2A53"/>
    <w:rsid w:val="00BC3D7C"/>
    <w:rsid w:val="00BC568E"/>
    <w:rsid w:val="00BC56AB"/>
    <w:rsid w:val="00BC5B68"/>
    <w:rsid w:val="00BC5D01"/>
    <w:rsid w:val="00BC7D38"/>
    <w:rsid w:val="00BD0E8E"/>
    <w:rsid w:val="00BD0F52"/>
    <w:rsid w:val="00BD1657"/>
    <w:rsid w:val="00BD31D7"/>
    <w:rsid w:val="00BD3BDD"/>
    <w:rsid w:val="00BD3D85"/>
    <w:rsid w:val="00BD4049"/>
    <w:rsid w:val="00BD4E1F"/>
    <w:rsid w:val="00BD4E54"/>
    <w:rsid w:val="00BD622A"/>
    <w:rsid w:val="00BD6BF2"/>
    <w:rsid w:val="00BE000D"/>
    <w:rsid w:val="00BE2014"/>
    <w:rsid w:val="00BE2039"/>
    <w:rsid w:val="00BE20B8"/>
    <w:rsid w:val="00BE30EF"/>
    <w:rsid w:val="00BE3843"/>
    <w:rsid w:val="00BE3EA6"/>
    <w:rsid w:val="00BE5984"/>
    <w:rsid w:val="00BE5E5D"/>
    <w:rsid w:val="00BE6AD3"/>
    <w:rsid w:val="00BE74A7"/>
    <w:rsid w:val="00BF1108"/>
    <w:rsid w:val="00BF14BF"/>
    <w:rsid w:val="00BF2437"/>
    <w:rsid w:val="00BF28CD"/>
    <w:rsid w:val="00BF2A3F"/>
    <w:rsid w:val="00BF31DD"/>
    <w:rsid w:val="00BF330E"/>
    <w:rsid w:val="00BF3B30"/>
    <w:rsid w:val="00BF3BEE"/>
    <w:rsid w:val="00BF4B93"/>
    <w:rsid w:val="00BF55BE"/>
    <w:rsid w:val="00BF5834"/>
    <w:rsid w:val="00BF592D"/>
    <w:rsid w:val="00BF5E77"/>
    <w:rsid w:val="00BF68A8"/>
    <w:rsid w:val="00BF68CA"/>
    <w:rsid w:val="00BF6B33"/>
    <w:rsid w:val="00BF6FB1"/>
    <w:rsid w:val="00BF71BA"/>
    <w:rsid w:val="00BF71FF"/>
    <w:rsid w:val="00C01698"/>
    <w:rsid w:val="00C02237"/>
    <w:rsid w:val="00C0258F"/>
    <w:rsid w:val="00C04349"/>
    <w:rsid w:val="00C04685"/>
    <w:rsid w:val="00C0488E"/>
    <w:rsid w:val="00C05800"/>
    <w:rsid w:val="00C0585C"/>
    <w:rsid w:val="00C05CED"/>
    <w:rsid w:val="00C06951"/>
    <w:rsid w:val="00C07002"/>
    <w:rsid w:val="00C07148"/>
    <w:rsid w:val="00C078AF"/>
    <w:rsid w:val="00C07D61"/>
    <w:rsid w:val="00C10422"/>
    <w:rsid w:val="00C10EB9"/>
    <w:rsid w:val="00C11326"/>
    <w:rsid w:val="00C14977"/>
    <w:rsid w:val="00C154E2"/>
    <w:rsid w:val="00C15CEE"/>
    <w:rsid w:val="00C163D6"/>
    <w:rsid w:val="00C16704"/>
    <w:rsid w:val="00C172BD"/>
    <w:rsid w:val="00C172C5"/>
    <w:rsid w:val="00C176EA"/>
    <w:rsid w:val="00C17D01"/>
    <w:rsid w:val="00C17D91"/>
    <w:rsid w:val="00C20ADB"/>
    <w:rsid w:val="00C20B71"/>
    <w:rsid w:val="00C20B93"/>
    <w:rsid w:val="00C20B95"/>
    <w:rsid w:val="00C20BBF"/>
    <w:rsid w:val="00C20D34"/>
    <w:rsid w:val="00C212B3"/>
    <w:rsid w:val="00C2137C"/>
    <w:rsid w:val="00C215E9"/>
    <w:rsid w:val="00C21FE6"/>
    <w:rsid w:val="00C22497"/>
    <w:rsid w:val="00C22581"/>
    <w:rsid w:val="00C2262A"/>
    <w:rsid w:val="00C2296E"/>
    <w:rsid w:val="00C22AEC"/>
    <w:rsid w:val="00C25355"/>
    <w:rsid w:val="00C26725"/>
    <w:rsid w:val="00C26F6B"/>
    <w:rsid w:val="00C3097B"/>
    <w:rsid w:val="00C31A86"/>
    <w:rsid w:val="00C340E2"/>
    <w:rsid w:val="00C3418B"/>
    <w:rsid w:val="00C34606"/>
    <w:rsid w:val="00C35108"/>
    <w:rsid w:val="00C36024"/>
    <w:rsid w:val="00C3756B"/>
    <w:rsid w:val="00C37A22"/>
    <w:rsid w:val="00C402BD"/>
    <w:rsid w:val="00C40334"/>
    <w:rsid w:val="00C40F8C"/>
    <w:rsid w:val="00C40F8F"/>
    <w:rsid w:val="00C40FF9"/>
    <w:rsid w:val="00C4163C"/>
    <w:rsid w:val="00C423AB"/>
    <w:rsid w:val="00C4259E"/>
    <w:rsid w:val="00C4299E"/>
    <w:rsid w:val="00C43D88"/>
    <w:rsid w:val="00C44753"/>
    <w:rsid w:val="00C4557D"/>
    <w:rsid w:val="00C45C6E"/>
    <w:rsid w:val="00C50C01"/>
    <w:rsid w:val="00C50DB7"/>
    <w:rsid w:val="00C51554"/>
    <w:rsid w:val="00C51876"/>
    <w:rsid w:val="00C51EED"/>
    <w:rsid w:val="00C5213F"/>
    <w:rsid w:val="00C52D30"/>
    <w:rsid w:val="00C52EA4"/>
    <w:rsid w:val="00C52FEF"/>
    <w:rsid w:val="00C53042"/>
    <w:rsid w:val="00C53719"/>
    <w:rsid w:val="00C53AD4"/>
    <w:rsid w:val="00C53F0A"/>
    <w:rsid w:val="00C54973"/>
    <w:rsid w:val="00C55111"/>
    <w:rsid w:val="00C561AD"/>
    <w:rsid w:val="00C569AD"/>
    <w:rsid w:val="00C578AB"/>
    <w:rsid w:val="00C5794C"/>
    <w:rsid w:val="00C60144"/>
    <w:rsid w:val="00C605C0"/>
    <w:rsid w:val="00C6074F"/>
    <w:rsid w:val="00C60775"/>
    <w:rsid w:val="00C60780"/>
    <w:rsid w:val="00C61CB8"/>
    <w:rsid w:val="00C61F88"/>
    <w:rsid w:val="00C62343"/>
    <w:rsid w:val="00C62643"/>
    <w:rsid w:val="00C6280D"/>
    <w:rsid w:val="00C62FD4"/>
    <w:rsid w:val="00C63580"/>
    <w:rsid w:val="00C635C7"/>
    <w:rsid w:val="00C63885"/>
    <w:rsid w:val="00C63E42"/>
    <w:rsid w:val="00C64A4D"/>
    <w:rsid w:val="00C66DD0"/>
    <w:rsid w:val="00C67BF4"/>
    <w:rsid w:val="00C7361E"/>
    <w:rsid w:val="00C73BBD"/>
    <w:rsid w:val="00C74594"/>
    <w:rsid w:val="00C74967"/>
    <w:rsid w:val="00C74E2A"/>
    <w:rsid w:val="00C75B06"/>
    <w:rsid w:val="00C76025"/>
    <w:rsid w:val="00C76ACD"/>
    <w:rsid w:val="00C76CE7"/>
    <w:rsid w:val="00C773EC"/>
    <w:rsid w:val="00C779F7"/>
    <w:rsid w:val="00C77B0D"/>
    <w:rsid w:val="00C77D50"/>
    <w:rsid w:val="00C80A46"/>
    <w:rsid w:val="00C81A60"/>
    <w:rsid w:val="00C826C3"/>
    <w:rsid w:val="00C8298E"/>
    <w:rsid w:val="00C8307D"/>
    <w:rsid w:val="00C8363E"/>
    <w:rsid w:val="00C83AE5"/>
    <w:rsid w:val="00C846D6"/>
    <w:rsid w:val="00C849AB"/>
    <w:rsid w:val="00C84F85"/>
    <w:rsid w:val="00C85AE3"/>
    <w:rsid w:val="00C860ED"/>
    <w:rsid w:val="00C864D0"/>
    <w:rsid w:val="00C86C0C"/>
    <w:rsid w:val="00C86C69"/>
    <w:rsid w:val="00C8702E"/>
    <w:rsid w:val="00C872E6"/>
    <w:rsid w:val="00C87C70"/>
    <w:rsid w:val="00C9124C"/>
    <w:rsid w:val="00C91CBB"/>
    <w:rsid w:val="00C93B6E"/>
    <w:rsid w:val="00C940B6"/>
    <w:rsid w:val="00C940D4"/>
    <w:rsid w:val="00C94393"/>
    <w:rsid w:val="00C9458C"/>
    <w:rsid w:val="00C9492E"/>
    <w:rsid w:val="00C95344"/>
    <w:rsid w:val="00C95523"/>
    <w:rsid w:val="00C9553C"/>
    <w:rsid w:val="00C9695A"/>
    <w:rsid w:val="00C976B6"/>
    <w:rsid w:val="00CA03EE"/>
    <w:rsid w:val="00CA0897"/>
    <w:rsid w:val="00CA1F3B"/>
    <w:rsid w:val="00CA2461"/>
    <w:rsid w:val="00CA3292"/>
    <w:rsid w:val="00CA3C84"/>
    <w:rsid w:val="00CA5010"/>
    <w:rsid w:val="00CA655B"/>
    <w:rsid w:val="00CA6960"/>
    <w:rsid w:val="00CB12EB"/>
    <w:rsid w:val="00CB1450"/>
    <w:rsid w:val="00CB1505"/>
    <w:rsid w:val="00CB231A"/>
    <w:rsid w:val="00CB2788"/>
    <w:rsid w:val="00CB2E5A"/>
    <w:rsid w:val="00CB353A"/>
    <w:rsid w:val="00CB3E4C"/>
    <w:rsid w:val="00CB4952"/>
    <w:rsid w:val="00CB4F3D"/>
    <w:rsid w:val="00CB527C"/>
    <w:rsid w:val="00CB5D7B"/>
    <w:rsid w:val="00CB5ED4"/>
    <w:rsid w:val="00CB635F"/>
    <w:rsid w:val="00CB71BD"/>
    <w:rsid w:val="00CC10A4"/>
    <w:rsid w:val="00CC3A9A"/>
    <w:rsid w:val="00CC4C50"/>
    <w:rsid w:val="00CC5207"/>
    <w:rsid w:val="00CC52C1"/>
    <w:rsid w:val="00CC5411"/>
    <w:rsid w:val="00CC63E2"/>
    <w:rsid w:val="00CC7F74"/>
    <w:rsid w:val="00CD1489"/>
    <w:rsid w:val="00CD1812"/>
    <w:rsid w:val="00CD1BCF"/>
    <w:rsid w:val="00CD24AC"/>
    <w:rsid w:val="00CD2F7A"/>
    <w:rsid w:val="00CD3923"/>
    <w:rsid w:val="00CD3AEB"/>
    <w:rsid w:val="00CD3E17"/>
    <w:rsid w:val="00CD424B"/>
    <w:rsid w:val="00CD431C"/>
    <w:rsid w:val="00CD5DC5"/>
    <w:rsid w:val="00CD6432"/>
    <w:rsid w:val="00CD6828"/>
    <w:rsid w:val="00CE0DA7"/>
    <w:rsid w:val="00CE2675"/>
    <w:rsid w:val="00CE3A6B"/>
    <w:rsid w:val="00CE5180"/>
    <w:rsid w:val="00CE5C12"/>
    <w:rsid w:val="00CE696F"/>
    <w:rsid w:val="00CE77BB"/>
    <w:rsid w:val="00CF0876"/>
    <w:rsid w:val="00CF1FCE"/>
    <w:rsid w:val="00CF1FEC"/>
    <w:rsid w:val="00CF210B"/>
    <w:rsid w:val="00CF3211"/>
    <w:rsid w:val="00CF3294"/>
    <w:rsid w:val="00CF395F"/>
    <w:rsid w:val="00CF3BFD"/>
    <w:rsid w:val="00CF4658"/>
    <w:rsid w:val="00CF4FDA"/>
    <w:rsid w:val="00CF587C"/>
    <w:rsid w:val="00CF6BB9"/>
    <w:rsid w:val="00CF6C3F"/>
    <w:rsid w:val="00D01027"/>
    <w:rsid w:val="00D01FF5"/>
    <w:rsid w:val="00D029F4"/>
    <w:rsid w:val="00D035C8"/>
    <w:rsid w:val="00D03862"/>
    <w:rsid w:val="00D03FAF"/>
    <w:rsid w:val="00D044BB"/>
    <w:rsid w:val="00D04F5A"/>
    <w:rsid w:val="00D0504B"/>
    <w:rsid w:val="00D052B4"/>
    <w:rsid w:val="00D05671"/>
    <w:rsid w:val="00D0657C"/>
    <w:rsid w:val="00D0668A"/>
    <w:rsid w:val="00D0701A"/>
    <w:rsid w:val="00D0763B"/>
    <w:rsid w:val="00D077B5"/>
    <w:rsid w:val="00D113D0"/>
    <w:rsid w:val="00D1175B"/>
    <w:rsid w:val="00D11A0E"/>
    <w:rsid w:val="00D11AB9"/>
    <w:rsid w:val="00D11C7C"/>
    <w:rsid w:val="00D11D57"/>
    <w:rsid w:val="00D12582"/>
    <w:rsid w:val="00D12921"/>
    <w:rsid w:val="00D12BA2"/>
    <w:rsid w:val="00D1361E"/>
    <w:rsid w:val="00D136BD"/>
    <w:rsid w:val="00D13929"/>
    <w:rsid w:val="00D1431D"/>
    <w:rsid w:val="00D1474F"/>
    <w:rsid w:val="00D149E9"/>
    <w:rsid w:val="00D14B72"/>
    <w:rsid w:val="00D164B8"/>
    <w:rsid w:val="00D178CC"/>
    <w:rsid w:val="00D2021A"/>
    <w:rsid w:val="00D20718"/>
    <w:rsid w:val="00D20B5C"/>
    <w:rsid w:val="00D2140D"/>
    <w:rsid w:val="00D21AF2"/>
    <w:rsid w:val="00D22034"/>
    <w:rsid w:val="00D22608"/>
    <w:rsid w:val="00D22B39"/>
    <w:rsid w:val="00D22FAA"/>
    <w:rsid w:val="00D23378"/>
    <w:rsid w:val="00D23A0D"/>
    <w:rsid w:val="00D23F62"/>
    <w:rsid w:val="00D24164"/>
    <w:rsid w:val="00D244F7"/>
    <w:rsid w:val="00D2465B"/>
    <w:rsid w:val="00D24F70"/>
    <w:rsid w:val="00D26012"/>
    <w:rsid w:val="00D26478"/>
    <w:rsid w:val="00D26ADC"/>
    <w:rsid w:val="00D26C14"/>
    <w:rsid w:val="00D310EA"/>
    <w:rsid w:val="00D3114A"/>
    <w:rsid w:val="00D31E05"/>
    <w:rsid w:val="00D321EC"/>
    <w:rsid w:val="00D32508"/>
    <w:rsid w:val="00D32573"/>
    <w:rsid w:val="00D32A7F"/>
    <w:rsid w:val="00D32EFD"/>
    <w:rsid w:val="00D33E5F"/>
    <w:rsid w:val="00D35582"/>
    <w:rsid w:val="00D35A92"/>
    <w:rsid w:val="00D35FB4"/>
    <w:rsid w:val="00D36F10"/>
    <w:rsid w:val="00D374A3"/>
    <w:rsid w:val="00D405F8"/>
    <w:rsid w:val="00D40643"/>
    <w:rsid w:val="00D40652"/>
    <w:rsid w:val="00D41D99"/>
    <w:rsid w:val="00D42629"/>
    <w:rsid w:val="00D4308A"/>
    <w:rsid w:val="00D43EE5"/>
    <w:rsid w:val="00D44498"/>
    <w:rsid w:val="00D454E1"/>
    <w:rsid w:val="00D456A0"/>
    <w:rsid w:val="00D45E56"/>
    <w:rsid w:val="00D460F3"/>
    <w:rsid w:val="00D46738"/>
    <w:rsid w:val="00D470C6"/>
    <w:rsid w:val="00D5049D"/>
    <w:rsid w:val="00D50A9E"/>
    <w:rsid w:val="00D5263E"/>
    <w:rsid w:val="00D52641"/>
    <w:rsid w:val="00D52F19"/>
    <w:rsid w:val="00D52FE8"/>
    <w:rsid w:val="00D53C40"/>
    <w:rsid w:val="00D5417B"/>
    <w:rsid w:val="00D542B7"/>
    <w:rsid w:val="00D5464E"/>
    <w:rsid w:val="00D55A5F"/>
    <w:rsid w:val="00D5644B"/>
    <w:rsid w:val="00D56A1C"/>
    <w:rsid w:val="00D57C9E"/>
    <w:rsid w:val="00D610C5"/>
    <w:rsid w:val="00D6199B"/>
    <w:rsid w:val="00D62892"/>
    <w:rsid w:val="00D62DF3"/>
    <w:rsid w:val="00D640DE"/>
    <w:rsid w:val="00D6458F"/>
    <w:rsid w:val="00D65B03"/>
    <w:rsid w:val="00D66073"/>
    <w:rsid w:val="00D6628F"/>
    <w:rsid w:val="00D66AF7"/>
    <w:rsid w:val="00D678DC"/>
    <w:rsid w:val="00D702C8"/>
    <w:rsid w:val="00D71241"/>
    <w:rsid w:val="00D712F2"/>
    <w:rsid w:val="00D7248C"/>
    <w:rsid w:val="00D72629"/>
    <w:rsid w:val="00D72671"/>
    <w:rsid w:val="00D7371A"/>
    <w:rsid w:val="00D74028"/>
    <w:rsid w:val="00D74E38"/>
    <w:rsid w:val="00D74F7C"/>
    <w:rsid w:val="00D7561C"/>
    <w:rsid w:val="00D76C2A"/>
    <w:rsid w:val="00D77091"/>
    <w:rsid w:val="00D776D2"/>
    <w:rsid w:val="00D80184"/>
    <w:rsid w:val="00D8074A"/>
    <w:rsid w:val="00D80A48"/>
    <w:rsid w:val="00D813A4"/>
    <w:rsid w:val="00D8150C"/>
    <w:rsid w:val="00D81FB1"/>
    <w:rsid w:val="00D83489"/>
    <w:rsid w:val="00D83BE3"/>
    <w:rsid w:val="00D83C03"/>
    <w:rsid w:val="00D83C5F"/>
    <w:rsid w:val="00D83C60"/>
    <w:rsid w:val="00D83CEE"/>
    <w:rsid w:val="00D84A25"/>
    <w:rsid w:val="00D84DBC"/>
    <w:rsid w:val="00D85FDB"/>
    <w:rsid w:val="00D86501"/>
    <w:rsid w:val="00D86C62"/>
    <w:rsid w:val="00D879CB"/>
    <w:rsid w:val="00D879EB"/>
    <w:rsid w:val="00D87B04"/>
    <w:rsid w:val="00D87CF7"/>
    <w:rsid w:val="00D87D25"/>
    <w:rsid w:val="00D9128F"/>
    <w:rsid w:val="00D912C7"/>
    <w:rsid w:val="00D9310B"/>
    <w:rsid w:val="00D96898"/>
    <w:rsid w:val="00D96FFA"/>
    <w:rsid w:val="00D9709B"/>
    <w:rsid w:val="00DA0324"/>
    <w:rsid w:val="00DA1C96"/>
    <w:rsid w:val="00DA2395"/>
    <w:rsid w:val="00DA2B97"/>
    <w:rsid w:val="00DA43AA"/>
    <w:rsid w:val="00DA44E8"/>
    <w:rsid w:val="00DA4664"/>
    <w:rsid w:val="00DA4E02"/>
    <w:rsid w:val="00DA4F5F"/>
    <w:rsid w:val="00DA5662"/>
    <w:rsid w:val="00DA661E"/>
    <w:rsid w:val="00DA6BB6"/>
    <w:rsid w:val="00DA7805"/>
    <w:rsid w:val="00DB1EFF"/>
    <w:rsid w:val="00DB25AE"/>
    <w:rsid w:val="00DB3153"/>
    <w:rsid w:val="00DB3793"/>
    <w:rsid w:val="00DB3909"/>
    <w:rsid w:val="00DB3F92"/>
    <w:rsid w:val="00DB4069"/>
    <w:rsid w:val="00DB443D"/>
    <w:rsid w:val="00DB4B5E"/>
    <w:rsid w:val="00DB68FC"/>
    <w:rsid w:val="00DC0E1F"/>
    <w:rsid w:val="00DC1BE4"/>
    <w:rsid w:val="00DC1C5F"/>
    <w:rsid w:val="00DC42AD"/>
    <w:rsid w:val="00DC4599"/>
    <w:rsid w:val="00DC4737"/>
    <w:rsid w:val="00DC4D67"/>
    <w:rsid w:val="00DC5C86"/>
    <w:rsid w:val="00DC6F6F"/>
    <w:rsid w:val="00DC75DE"/>
    <w:rsid w:val="00DD00BC"/>
    <w:rsid w:val="00DD0202"/>
    <w:rsid w:val="00DD207A"/>
    <w:rsid w:val="00DD33EF"/>
    <w:rsid w:val="00DD3988"/>
    <w:rsid w:val="00DD54B1"/>
    <w:rsid w:val="00DD57C4"/>
    <w:rsid w:val="00DD58AB"/>
    <w:rsid w:val="00DD622F"/>
    <w:rsid w:val="00DD648A"/>
    <w:rsid w:val="00DD65C7"/>
    <w:rsid w:val="00DD6CCE"/>
    <w:rsid w:val="00DD70EF"/>
    <w:rsid w:val="00DD7DC9"/>
    <w:rsid w:val="00DE2150"/>
    <w:rsid w:val="00DE24E1"/>
    <w:rsid w:val="00DE2615"/>
    <w:rsid w:val="00DE2936"/>
    <w:rsid w:val="00DE2E29"/>
    <w:rsid w:val="00DE32D3"/>
    <w:rsid w:val="00DE39B6"/>
    <w:rsid w:val="00DE414A"/>
    <w:rsid w:val="00DE4BCF"/>
    <w:rsid w:val="00DE51F4"/>
    <w:rsid w:val="00DE5859"/>
    <w:rsid w:val="00DE6661"/>
    <w:rsid w:val="00DE7998"/>
    <w:rsid w:val="00DF108F"/>
    <w:rsid w:val="00DF1FA3"/>
    <w:rsid w:val="00DF2383"/>
    <w:rsid w:val="00DF4144"/>
    <w:rsid w:val="00DF46F9"/>
    <w:rsid w:val="00DF485A"/>
    <w:rsid w:val="00DF4D91"/>
    <w:rsid w:val="00DF50AA"/>
    <w:rsid w:val="00DF519D"/>
    <w:rsid w:val="00DF59DD"/>
    <w:rsid w:val="00DF5AB4"/>
    <w:rsid w:val="00DF5D24"/>
    <w:rsid w:val="00DF5D65"/>
    <w:rsid w:val="00DF67D6"/>
    <w:rsid w:val="00DF6804"/>
    <w:rsid w:val="00DF687D"/>
    <w:rsid w:val="00DF71FB"/>
    <w:rsid w:val="00DF76DD"/>
    <w:rsid w:val="00DF7710"/>
    <w:rsid w:val="00E00B06"/>
    <w:rsid w:val="00E01186"/>
    <w:rsid w:val="00E015A4"/>
    <w:rsid w:val="00E016AC"/>
    <w:rsid w:val="00E0197A"/>
    <w:rsid w:val="00E01E0C"/>
    <w:rsid w:val="00E03795"/>
    <w:rsid w:val="00E03C59"/>
    <w:rsid w:val="00E03D2E"/>
    <w:rsid w:val="00E04153"/>
    <w:rsid w:val="00E04A00"/>
    <w:rsid w:val="00E04B97"/>
    <w:rsid w:val="00E04E6F"/>
    <w:rsid w:val="00E04E89"/>
    <w:rsid w:val="00E050E0"/>
    <w:rsid w:val="00E05410"/>
    <w:rsid w:val="00E05644"/>
    <w:rsid w:val="00E0677B"/>
    <w:rsid w:val="00E0682B"/>
    <w:rsid w:val="00E0699F"/>
    <w:rsid w:val="00E06B46"/>
    <w:rsid w:val="00E10384"/>
    <w:rsid w:val="00E10D56"/>
    <w:rsid w:val="00E1138A"/>
    <w:rsid w:val="00E1183C"/>
    <w:rsid w:val="00E11D7B"/>
    <w:rsid w:val="00E123F1"/>
    <w:rsid w:val="00E12BB1"/>
    <w:rsid w:val="00E13AFD"/>
    <w:rsid w:val="00E1448C"/>
    <w:rsid w:val="00E14B17"/>
    <w:rsid w:val="00E14F69"/>
    <w:rsid w:val="00E15C20"/>
    <w:rsid w:val="00E17663"/>
    <w:rsid w:val="00E21DD2"/>
    <w:rsid w:val="00E239FB"/>
    <w:rsid w:val="00E241A4"/>
    <w:rsid w:val="00E248C7"/>
    <w:rsid w:val="00E24B61"/>
    <w:rsid w:val="00E24FAB"/>
    <w:rsid w:val="00E26115"/>
    <w:rsid w:val="00E26AB5"/>
    <w:rsid w:val="00E270B8"/>
    <w:rsid w:val="00E27DB1"/>
    <w:rsid w:val="00E3027E"/>
    <w:rsid w:val="00E30828"/>
    <w:rsid w:val="00E310B4"/>
    <w:rsid w:val="00E31D36"/>
    <w:rsid w:val="00E32B67"/>
    <w:rsid w:val="00E3415F"/>
    <w:rsid w:val="00E34271"/>
    <w:rsid w:val="00E346A0"/>
    <w:rsid w:val="00E34C51"/>
    <w:rsid w:val="00E3731F"/>
    <w:rsid w:val="00E374D4"/>
    <w:rsid w:val="00E3768A"/>
    <w:rsid w:val="00E40734"/>
    <w:rsid w:val="00E40E24"/>
    <w:rsid w:val="00E420A8"/>
    <w:rsid w:val="00E421A8"/>
    <w:rsid w:val="00E4290D"/>
    <w:rsid w:val="00E436F8"/>
    <w:rsid w:val="00E43A13"/>
    <w:rsid w:val="00E457B7"/>
    <w:rsid w:val="00E4610B"/>
    <w:rsid w:val="00E4674E"/>
    <w:rsid w:val="00E4756F"/>
    <w:rsid w:val="00E4783F"/>
    <w:rsid w:val="00E47E3F"/>
    <w:rsid w:val="00E51B76"/>
    <w:rsid w:val="00E51CC2"/>
    <w:rsid w:val="00E538E1"/>
    <w:rsid w:val="00E54F3B"/>
    <w:rsid w:val="00E55073"/>
    <w:rsid w:val="00E553C0"/>
    <w:rsid w:val="00E5570B"/>
    <w:rsid w:val="00E5575D"/>
    <w:rsid w:val="00E5733A"/>
    <w:rsid w:val="00E576D4"/>
    <w:rsid w:val="00E57A38"/>
    <w:rsid w:val="00E57A74"/>
    <w:rsid w:val="00E57DFF"/>
    <w:rsid w:val="00E60059"/>
    <w:rsid w:val="00E60590"/>
    <w:rsid w:val="00E60951"/>
    <w:rsid w:val="00E6099D"/>
    <w:rsid w:val="00E62163"/>
    <w:rsid w:val="00E62464"/>
    <w:rsid w:val="00E62A4E"/>
    <w:rsid w:val="00E6307C"/>
    <w:rsid w:val="00E6333B"/>
    <w:rsid w:val="00E634AC"/>
    <w:rsid w:val="00E63A12"/>
    <w:rsid w:val="00E64D6D"/>
    <w:rsid w:val="00E64E11"/>
    <w:rsid w:val="00E6585E"/>
    <w:rsid w:val="00E66095"/>
    <w:rsid w:val="00E673B5"/>
    <w:rsid w:val="00E7012F"/>
    <w:rsid w:val="00E70CA8"/>
    <w:rsid w:val="00E71215"/>
    <w:rsid w:val="00E7174B"/>
    <w:rsid w:val="00E71C3B"/>
    <w:rsid w:val="00E72DF6"/>
    <w:rsid w:val="00E74272"/>
    <w:rsid w:val="00E74EFA"/>
    <w:rsid w:val="00E750C3"/>
    <w:rsid w:val="00E752D7"/>
    <w:rsid w:val="00E758CC"/>
    <w:rsid w:val="00E75C1F"/>
    <w:rsid w:val="00E77097"/>
    <w:rsid w:val="00E7783B"/>
    <w:rsid w:val="00E80E35"/>
    <w:rsid w:val="00E81829"/>
    <w:rsid w:val="00E81CB5"/>
    <w:rsid w:val="00E82D1A"/>
    <w:rsid w:val="00E83B2A"/>
    <w:rsid w:val="00E83FFF"/>
    <w:rsid w:val="00E84A28"/>
    <w:rsid w:val="00E84E23"/>
    <w:rsid w:val="00E8538A"/>
    <w:rsid w:val="00E85ABB"/>
    <w:rsid w:val="00E869D9"/>
    <w:rsid w:val="00E9132A"/>
    <w:rsid w:val="00E91755"/>
    <w:rsid w:val="00E91DFB"/>
    <w:rsid w:val="00E9296A"/>
    <w:rsid w:val="00E92D05"/>
    <w:rsid w:val="00E941F3"/>
    <w:rsid w:val="00E942CC"/>
    <w:rsid w:val="00E94749"/>
    <w:rsid w:val="00E95C0A"/>
    <w:rsid w:val="00E95C40"/>
    <w:rsid w:val="00E95E50"/>
    <w:rsid w:val="00E962B9"/>
    <w:rsid w:val="00E968D2"/>
    <w:rsid w:val="00E96C15"/>
    <w:rsid w:val="00E974B1"/>
    <w:rsid w:val="00E97708"/>
    <w:rsid w:val="00EA0542"/>
    <w:rsid w:val="00EA194A"/>
    <w:rsid w:val="00EA2736"/>
    <w:rsid w:val="00EA2BC2"/>
    <w:rsid w:val="00EA4475"/>
    <w:rsid w:val="00EA495E"/>
    <w:rsid w:val="00EA497F"/>
    <w:rsid w:val="00EA4C99"/>
    <w:rsid w:val="00EA51E7"/>
    <w:rsid w:val="00EA6494"/>
    <w:rsid w:val="00EB0340"/>
    <w:rsid w:val="00EB0944"/>
    <w:rsid w:val="00EB0EF7"/>
    <w:rsid w:val="00EB1BAC"/>
    <w:rsid w:val="00EB2840"/>
    <w:rsid w:val="00EB2EC9"/>
    <w:rsid w:val="00EB3673"/>
    <w:rsid w:val="00EB3DC0"/>
    <w:rsid w:val="00EB3E84"/>
    <w:rsid w:val="00EB3FF4"/>
    <w:rsid w:val="00EB40F4"/>
    <w:rsid w:val="00EB4371"/>
    <w:rsid w:val="00EB5CA4"/>
    <w:rsid w:val="00EB6723"/>
    <w:rsid w:val="00EB7EE2"/>
    <w:rsid w:val="00EC0059"/>
    <w:rsid w:val="00EC05C7"/>
    <w:rsid w:val="00EC0C4E"/>
    <w:rsid w:val="00EC116D"/>
    <w:rsid w:val="00EC176A"/>
    <w:rsid w:val="00EC1E27"/>
    <w:rsid w:val="00EC1FA7"/>
    <w:rsid w:val="00EC232E"/>
    <w:rsid w:val="00EC2492"/>
    <w:rsid w:val="00EC2595"/>
    <w:rsid w:val="00EC34DD"/>
    <w:rsid w:val="00EC3B79"/>
    <w:rsid w:val="00EC3D55"/>
    <w:rsid w:val="00EC4C56"/>
    <w:rsid w:val="00EC5712"/>
    <w:rsid w:val="00EC5F21"/>
    <w:rsid w:val="00EC7038"/>
    <w:rsid w:val="00EC7A4F"/>
    <w:rsid w:val="00ED0683"/>
    <w:rsid w:val="00ED07F6"/>
    <w:rsid w:val="00ED2ABE"/>
    <w:rsid w:val="00ED2B75"/>
    <w:rsid w:val="00ED2F88"/>
    <w:rsid w:val="00ED3161"/>
    <w:rsid w:val="00ED3B1B"/>
    <w:rsid w:val="00ED4894"/>
    <w:rsid w:val="00ED561F"/>
    <w:rsid w:val="00ED5B68"/>
    <w:rsid w:val="00ED6650"/>
    <w:rsid w:val="00ED6A79"/>
    <w:rsid w:val="00ED7FCB"/>
    <w:rsid w:val="00EE02C6"/>
    <w:rsid w:val="00EE0944"/>
    <w:rsid w:val="00EE10A6"/>
    <w:rsid w:val="00EE1FAD"/>
    <w:rsid w:val="00EE21BE"/>
    <w:rsid w:val="00EE2EF7"/>
    <w:rsid w:val="00EE3484"/>
    <w:rsid w:val="00EE3736"/>
    <w:rsid w:val="00EE38A4"/>
    <w:rsid w:val="00EE47D6"/>
    <w:rsid w:val="00EE52DD"/>
    <w:rsid w:val="00EE5E04"/>
    <w:rsid w:val="00EF00A6"/>
    <w:rsid w:val="00EF01D8"/>
    <w:rsid w:val="00EF0284"/>
    <w:rsid w:val="00EF2E89"/>
    <w:rsid w:val="00EF3667"/>
    <w:rsid w:val="00EF47AE"/>
    <w:rsid w:val="00EF49A7"/>
    <w:rsid w:val="00EF566D"/>
    <w:rsid w:val="00EF6C22"/>
    <w:rsid w:val="00EF7113"/>
    <w:rsid w:val="00EF7D36"/>
    <w:rsid w:val="00EF7E1C"/>
    <w:rsid w:val="00EF7FF5"/>
    <w:rsid w:val="00F00B6A"/>
    <w:rsid w:val="00F00C45"/>
    <w:rsid w:val="00F0145E"/>
    <w:rsid w:val="00F026BF"/>
    <w:rsid w:val="00F029A0"/>
    <w:rsid w:val="00F02A04"/>
    <w:rsid w:val="00F03C5D"/>
    <w:rsid w:val="00F046DC"/>
    <w:rsid w:val="00F04D34"/>
    <w:rsid w:val="00F04D4A"/>
    <w:rsid w:val="00F0529D"/>
    <w:rsid w:val="00F0562A"/>
    <w:rsid w:val="00F05C18"/>
    <w:rsid w:val="00F05E16"/>
    <w:rsid w:val="00F0613E"/>
    <w:rsid w:val="00F067A5"/>
    <w:rsid w:val="00F06D23"/>
    <w:rsid w:val="00F103F3"/>
    <w:rsid w:val="00F10543"/>
    <w:rsid w:val="00F10981"/>
    <w:rsid w:val="00F10D03"/>
    <w:rsid w:val="00F111A2"/>
    <w:rsid w:val="00F112C4"/>
    <w:rsid w:val="00F11EF8"/>
    <w:rsid w:val="00F13463"/>
    <w:rsid w:val="00F146C9"/>
    <w:rsid w:val="00F15983"/>
    <w:rsid w:val="00F15DB8"/>
    <w:rsid w:val="00F16176"/>
    <w:rsid w:val="00F16888"/>
    <w:rsid w:val="00F16D7E"/>
    <w:rsid w:val="00F1708C"/>
    <w:rsid w:val="00F17A60"/>
    <w:rsid w:val="00F17E47"/>
    <w:rsid w:val="00F2037C"/>
    <w:rsid w:val="00F20AC6"/>
    <w:rsid w:val="00F20CA4"/>
    <w:rsid w:val="00F212F0"/>
    <w:rsid w:val="00F21608"/>
    <w:rsid w:val="00F21F97"/>
    <w:rsid w:val="00F22E1C"/>
    <w:rsid w:val="00F23AE5"/>
    <w:rsid w:val="00F241FF"/>
    <w:rsid w:val="00F24CFE"/>
    <w:rsid w:val="00F24D84"/>
    <w:rsid w:val="00F256B9"/>
    <w:rsid w:val="00F25A33"/>
    <w:rsid w:val="00F26576"/>
    <w:rsid w:val="00F268CE"/>
    <w:rsid w:val="00F26A8C"/>
    <w:rsid w:val="00F26D4C"/>
    <w:rsid w:val="00F26F97"/>
    <w:rsid w:val="00F27645"/>
    <w:rsid w:val="00F30241"/>
    <w:rsid w:val="00F3089A"/>
    <w:rsid w:val="00F3324D"/>
    <w:rsid w:val="00F33E2D"/>
    <w:rsid w:val="00F34708"/>
    <w:rsid w:val="00F34F98"/>
    <w:rsid w:val="00F352CC"/>
    <w:rsid w:val="00F355AC"/>
    <w:rsid w:val="00F36036"/>
    <w:rsid w:val="00F367D1"/>
    <w:rsid w:val="00F36D2E"/>
    <w:rsid w:val="00F37903"/>
    <w:rsid w:val="00F40AA0"/>
    <w:rsid w:val="00F40B45"/>
    <w:rsid w:val="00F40B4D"/>
    <w:rsid w:val="00F40F44"/>
    <w:rsid w:val="00F413E1"/>
    <w:rsid w:val="00F41AE2"/>
    <w:rsid w:val="00F4216F"/>
    <w:rsid w:val="00F423E2"/>
    <w:rsid w:val="00F42652"/>
    <w:rsid w:val="00F42C32"/>
    <w:rsid w:val="00F43052"/>
    <w:rsid w:val="00F431EB"/>
    <w:rsid w:val="00F43476"/>
    <w:rsid w:val="00F43DEB"/>
    <w:rsid w:val="00F44269"/>
    <w:rsid w:val="00F444DB"/>
    <w:rsid w:val="00F44801"/>
    <w:rsid w:val="00F44836"/>
    <w:rsid w:val="00F45040"/>
    <w:rsid w:val="00F45444"/>
    <w:rsid w:val="00F45C6D"/>
    <w:rsid w:val="00F50B01"/>
    <w:rsid w:val="00F51726"/>
    <w:rsid w:val="00F51F72"/>
    <w:rsid w:val="00F52964"/>
    <w:rsid w:val="00F530AF"/>
    <w:rsid w:val="00F5411F"/>
    <w:rsid w:val="00F542F8"/>
    <w:rsid w:val="00F5518C"/>
    <w:rsid w:val="00F56835"/>
    <w:rsid w:val="00F56967"/>
    <w:rsid w:val="00F56D48"/>
    <w:rsid w:val="00F6092B"/>
    <w:rsid w:val="00F6095D"/>
    <w:rsid w:val="00F60A18"/>
    <w:rsid w:val="00F6175A"/>
    <w:rsid w:val="00F61A5A"/>
    <w:rsid w:val="00F62259"/>
    <w:rsid w:val="00F6366B"/>
    <w:rsid w:val="00F65B11"/>
    <w:rsid w:val="00F67DED"/>
    <w:rsid w:val="00F701EE"/>
    <w:rsid w:val="00F706FA"/>
    <w:rsid w:val="00F71559"/>
    <w:rsid w:val="00F7224E"/>
    <w:rsid w:val="00F72481"/>
    <w:rsid w:val="00F72CCC"/>
    <w:rsid w:val="00F72EDF"/>
    <w:rsid w:val="00F746E9"/>
    <w:rsid w:val="00F74A05"/>
    <w:rsid w:val="00F74E36"/>
    <w:rsid w:val="00F74E60"/>
    <w:rsid w:val="00F75DD1"/>
    <w:rsid w:val="00F770F0"/>
    <w:rsid w:val="00F77641"/>
    <w:rsid w:val="00F7764F"/>
    <w:rsid w:val="00F814D0"/>
    <w:rsid w:val="00F819E6"/>
    <w:rsid w:val="00F82046"/>
    <w:rsid w:val="00F82140"/>
    <w:rsid w:val="00F844B9"/>
    <w:rsid w:val="00F86278"/>
    <w:rsid w:val="00F86A39"/>
    <w:rsid w:val="00F87A70"/>
    <w:rsid w:val="00F87BD7"/>
    <w:rsid w:val="00F91698"/>
    <w:rsid w:val="00F916D1"/>
    <w:rsid w:val="00F9172D"/>
    <w:rsid w:val="00F921E1"/>
    <w:rsid w:val="00F936CD"/>
    <w:rsid w:val="00F937C6"/>
    <w:rsid w:val="00F94101"/>
    <w:rsid w:val="00F94C38"/>
    <w:rsid w:val="00F94F0C"/>
    <w:rsid w:val="00F95C17"/>
    <w:rsid w:val="00F96010"/>
    <w:rsid w:val="00F97150"/>
    <w:rsid w:val="00F976AF"/>
    <w:rsid w:val="00FA0424"/>
    <w:rsid w:val="00FA0BA3"/>
    <w:rsid w:val="00FA1A0C"/>
    <w:rsid w:val="00FA2261"/>
    <w:rsid w:val="00FA3FFF"/>
    <w:rsid w:val="00FA4E71"/>
    <w:rsid w:val="00FA6656"/>
    <w:rsid w:val="00FA6AFC"/>
    <w:rsid w:val="00FA6F7F"/>
    <w:rsid w:val="00FA7840"/>
    <w:rsid w:val="00FA7DD2"/>
    <w:rsid w:val="00FB08BB"/>
    <w:rsid w:val="00FB1281"/>
    <w:rsid w:val="00FB15E0"/>
    <w:rsid w:val="00FB1F49"/>
    <w:rsid w:val="00FB2A67"/>
    <w:rsid w:val="00FB371F"/>
    <w:rsid w:val="00FB382F"/>
    <w:rsid w:val="00FB6359"/>
    <w:rsid w:val="00FB63DC"/>
    <w:rsid w:val="00FB6CB3"/>
    <w:rsid w:val="00FB7561"/>
    <w:rsid w:val="00FB77F5"/>
    <w:rsid w:val="00FB7E8F"/>
    <w:rsid w:val="00FC0455"/>
    <w:rsid w:val="00FC04F2"/>
    <w:rsid w:val="00FC07FD"/>
    <w:rsid w:val="00FC0807"/>
    <w:rsid w:val="00FC1087"/>
    <w:rsid w:val="00FC12DA"/>
    <w:rsid w:val="00FC1F4F"/>
    <w:rsid w:val="00FC2201"/>
    <w:rsid w:val="00FC33D9"/>
    <w:rsid w:val="00FC4CCE"/>
    <w:rsid w:val="00FC4D2E"/>
    <w:rsid w:val="00FC5EED"/>
    <w:rsid w:val="00FC6B9B"/>
    <w:rsid w:val="00FC7B55"/>
    <w:rsid w:val="00FC7F70"/>
    <w:rsid w:val="00FD080F"/>
    <w:rsid w:val="00FD0CAC"/>
    <w:rsid w:val="00FD1037"/>
    <w:rsid w:val="00FD1390"/>
    <w:rsid w:val="00FD1DB6"/>
    <w:rsid w:val="00FD2F7D"/>
    <w:rsid w:val="00FD35F4"/>
    <w:rsid w:val="00FD3630"/>
    <w:rsid w:val="00FD4102"/>
    <w:rsid w:val="00FD4A48"/>
    <w:rsid w:val="00FD4E6C"/>
    <w:rsid w:val="00FD5933"/>
    <w:rsid w:val="00FD5B47"/>
    <w:rsid w:val="00FD5B57"/>
    <w:rsid w:val="00FD7809"/>
    <w:rsid w:val="00FE09BE"/>
    <w:rsid w:val="00FE1E20"/>
    <w:rsid w:val="00FE1E64"/>
    <w:rsid w:val="00FE2248"/>
    <w:rsid w:val="00FE3164"/>
    <w:rsid w:val="00FE3313"/>
    <w:rsid w:val="00FE389F"/>
    <w:rsid w:val="00FE3EF6"/>
    <w:rsid w:val="00FE4C8F"/>
    <w:rsid w:val="00FF1109"/>
    <w:rsid w:val="00FF17BC"/>
    <w:rsid w:val="00FF1C18"/>
    <w:rsid w:val="00FF1FAE"/>
    <w:rsid w:val="00FF23DB"/>
    <w:rsid w:val="00FF28CE"/>
    <w:rsid w:val="00FF2E1E"/>
    <w:rsid w:val="00FF4036"/>
    <w:rsid w:val="00FF4BAF"/>
    <w:rsid w:val="00FF535D"/>
    <w:rsid w:val="00FF68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C3"/>
    <w:pPr>
      <w:bidi/>
    </w:pPr>
  </w:style>
  <w:style w:type="paragraph" w:styleId="Heading1">
    <w:name w:val="heading 1"/>
    <w:basedOn w:val="Normal"/>
    <w:next w:val="Normal"/>
    <w:link w:val="Heading1Char"/>
    <w:uiPriority w:val="9"/>
    <w:qFormat/>
    <w:rsid w:val="00AD201B"/>
    <w:pPr>
      <w:jc w:val="center"/>
      <w:outlineLvl w:val="0"/>
    </w:pPr>
    <w:rPr>
      <w:b/>
      <w:bCs/>
      <w:sz w:val="24"/>
    </w:rPr>
  </w:style>
  <w:style w:type="paragraph" w:styleId="Heading2">
    <w:name w:val="heading 2"/>
    <w:basedOn w:val="ListParagraph"/>
    <w:next w:val="Normal"/>
    <w:link w:val="Heading2Char"/>
    <w:uiPriority w:val="9"/>
    <w:unhideWhenUsed/>
    <w:qFormat/>
    <w:rsid w:val="00D374A3"/>
    <w:pPr>
      <w:numPr>
        <w:numId w:val="7"/>
      </w:numPr>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02BF"/>
    <w:pPr>
      <w:tabs>
        <w:tab w:val="right" w:leader="dot" w:pos="8296"/>
      </w:tabs>
      <w:bidi w:val="0"/>
      <w:spacing w:after="40" w:line="240" w:lineRule="auto"/>
      <w:jc w:val="right"/>
    </w:pPr>
    <w:rPr>
      <w:rFonts w:eastAsia="Calibri" w:cs="New Century Schoolbook"/>
    </w:rPr>
  </w:style>
  <w:style w:type="paragraph" w:styleId="TOC2">
    <w:name w:val="toc 2"/>
    <w:basedOn w:val="Normal"/>
    <w:next w:val="Normal"/>
    <w:autoRedefine/>
    <w:uiPriority w:val="39"/>
    <w:rsid w:val="00AB02BF"/>
    <w:pPr>
      <w:spacing w:after="100" w:line="240" w:lineRule="auto"/>
      <w:ind w:left="220"/>
      <w:jc w:val="right"/>
    </w:pPr>
    <w:rPr>
      <w:rFonts w:eastAsia="Calibri" w:cs="New Century Schoolbook"/>
    </w:rPr>
  </w:style>
  <w:style w:type="paragraph" w:styleId="TOC3">
    <w:name w:val="toc 3"/>
    <w:basedOn w:val="Normal"/>
    <w:next w:val="Normal"/>
    <w:autoRedefine/>
    <w:uiPriority w:val="39"/>
    <w:rsid w:val="00AB02BF"/>
    <w:pPr>
      <w:spacing w:after="100" w:line="240" w:lineRule="auto"/>
      <w:ind w:left="440"/>
      <w:jc w:val="right"/>
    </w:pPr>
    <w:rPr>
      <w:rFonts w:eastAsia="Calibri" w:cs="New Century Schoolbook"/>
    </w:rPr>
  </w:style>
  <w:style w:type="paragraph" w:styleId="FootnoteText">
    <w:name w:val="footnote text"/>
    <w:basedOn w:val="Normal"/>
    <w:link w:val="FootnoteTextChar"/>
    <w:uiPriority w:val="99"/>
    <w:unhideWhenUsed/>
    <w:rsid w:val="008D3D0C"/>
    <w:pPr>
      <w:spacing w:after="0" w:line="240" w:lineRule="auto"/>
    </w:pPr>
    <w:rPr>
      <w:sz w:val="20"/>
      <w:szCs w:val="20"/>
    </w:rPr>
  </w:style>
  <w:style w:type="character" w:customStyle="1" w:styleId="FootnoteTextChar">
    <w:name w:val="Footnote Text Char"/>
    <w:basedOn w:val="DefaultParagraphFont"/>
    <w:link w:val="FootnoteText"/>
    <w:uiPriority w:val="99"/>
    <w:rsid w:val="008D3D0C"/>
    <w:rPr>
      <w:sz w:val="20"/>
      <w:szCs w:val="20"/>
    </w:rPr>
  </w:style>
  <w:style w:type="character" w:styleId="FootnoteReference">
    <w:name w:val="footnote reference"/>
    <w:basedOn w:val="DefaultParagraphFont"/>
    <w:uiPriority w:val="99"/>
    <w:semiHidden/>
    <w:unhideWhenUsed/>
    <w:rsid w:val="008D3D0C"/>
    <w:rPr>
      <w:vertAlign w:val="superscript"/>
    </w:rPr>
  </w:style>
  <w:style w:type="character" w:styleId="Hyperlink">
    <w:name w:val="Hyperlink"/>
    <w:basedOn w:val="DefaultParagraphFont"/>
    <w:uiPriority w:val="99"/>
    <w:unhideWhenUsed/>
    <w:rsid w:val="00771C57"/>
    <w:rPr>
      <w:color w:val="0000FF" w:themeColor="hyperlink"/>
      <w:u w:val="single"/>
    </w:rPr>
  </w:style>
  <w:style w:type="character" w:customStyle="1" w:styleId="h">
    <w:name w:val="h"/>
    <w:basedOn w:val="DefaultParagraphFont"/>
    <w:rsid w:val="00C578AB"/>
  </w:style>
  <w:style w:type="character" w:styleId="FollowedHyperlink">
    <w:name w:val="FollowedHyperlink"/>
    <w:basedOn w:val="DefaultParagraphFont"/>
    <w:uiPriority w:val="99"/>
    <w:semiHidden/>
    <w:unhideWhenUsed/>
    <w:rsid w:val="00E5570B"/>
    <w:rPr>
      <w:color w:val="800080" w:themeColor="followedHyperlink"/>
      <w:u w:val="single"/>
    </w:rPr>
  </w:style>
  <w:style w:type="paragraph" w:styleId="ListParagraph">
    <w:name w:val="List Paragraph"/>
    <w:basedOn w:val="Normal"/>
    <w:uiPriority w:val="34"/>
    <w:qFormat/>
    <w:rsid w:val="00A916A0"/>
    <w:pPr>
      <w:ind w:left="720"/>
      <w:contextualSpacing/>
    </w:pPr>
  </w:style>
  <w:style w:type="paragraph" w:styleId="Header">
    <w:name w:val="header"/>
    <w:basedOn w:val="Normal"/>
    <w:link w:val="HeaderChar"/>
    <w:uiPriority w:val="99"/>
    <w:unhideWhenUsed/>
    <w:rsid w:val="0082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25"/>
  </w:style>
  <w:style w:type="paragraph" w:styleId="Footer">
    <w:name w:val="footer"/>
    <w:basedOn w:val="Normal"/>
    <w:link w:val="FooterChar"/>
    <w:uiPriority w:val="99"/>
    <w:unhideWhenUsed/>
    <w:rsid w:val="0082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25"/>
  </w:style>
  <w:style w:type="character" w:customStyle="1" w:styleId="Heading1Char">
    <w:name w:val="Heading 1 Char"/>
    <w:basedOn w:val="DefaultParagraphFont"/>
    <w:link w:val="Heading1"/>
    <w:uiPriority w:val="9"/>
    <w:rsid w:val="00AD201B"/>
    <w:rPr>
      <w:b/>
      <w:bCs/>
      <w:sz w:val="24"/>
    </w:rPr>
  </w:style>
  <w:style w:type="character" w:customStyle="1" w:styleId="Heading2Char">
    <w:name w:val="Heading 2 Char"/>
    <w:basedOn w:val="DefaultParagraphFont"/>
    <w:link w:val="Heading2"/>
    <w:uiPriority w:val="9"/>
    <w:rsid w:val="00D374A3"/>
    <w:rPr>
      <w:sz w:val="24"/>
      <w:u w:val="single"/>
    </w:rPr>
  </w:style>
  <w:style w:type="paragraph" w:styleId="TOCHeading">
    <w:name w:val="TOC Heading"/>
    <w:basedOn w:val="Heading1"/>
    <w:next w:val="Normal"/>
    <w:uiPriority w:val="39"/>
    <w:semiHidden/>
    <w:unhideWhenUsed/>
    <w:qFormat/>
    <w:rsid w:val="00434D34"/>
    <w:pPr>
      <w:keepNext/>
      <w:keepLines/>
      <w:bidi w:val="0"/>
      <w:spacing w:before="480" w:after="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BalloonText">
    <w:name w:val="Balloon Text"/>
    <w:basedOn w:val="Normal"/>
    <w:link w:val="BalloonTextChar"/>
    <w:uiPriority w:val="99"/>
    <w:semiHidden/>
    <w:unhideWhenUsed/>
    <w:rsid w:val="0043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D201B"/>
    <w:pPr>
      <w:jc w:val="center"/>
      <w:outlineLvl w:val="0"/>
    </w:pPr>
    <w:rPr>
      <w:b/>
      <w:bCs/>
      <w:sz w:val="24"/>
    </w:rPr>
  </w:style>
  <w:style w:type="paragraph" w:styleId="Heading2">
    <w:name w:val="heading 2"/>
    <w:basedOn w:val="ListParagraph"/>
    <w:next w:val="Normal"/>
    <w:link w:val="Heading2Char"/>
    <w:uiPriority w:val="9"/>
    <w:unhideWhenUsed/>
    <w:qFormat/>
    <w:rsid w:val="00D374A3"/>
    <w:pPr>
      <w:numPr>
        <w:numId w:val="7"/>
      </w:numPr>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02BF"/>
    <w:pPr>
      <w:tabs>
        <w:tab w:val="right" w:leader="dot" w:pos="8296"/>
      </w:tabs>
      <w:bidi w:val="0"/>
      <w:spacing w:after="40" w:line="240" w:lineRule="auto"/>
      <w:jc w:val="right"/>
    </w:pPr>
    <w:rPr>
      <w:rFonts w:eastAsia="Calibri" w:cs="New Century Schoolbook"/>
    </w:rPr>
  </w:style>
  <w:style w:type="paragraph" w:styleId="TOC2">
    <w:name w:val="toc 2"/>
    <w:basedOn w:val="Normal"/>
    <w:next w:val="Normal"/>
    <w:autoRedefine/>
    <w:uiPriority w:val="39"/>
    <w:rsid w:val="00AB02BF"/>
    <w:pPr>
      <w:spacing w:after="100" w:line="240" w:lineRule="auto"/>
      <w:ind w:left="220"/>
      <w:jc w:val="right"/>
    </w:pPr>
    <w:rPr>
      <w:rFonts w:eastAsia="Calibri" w:cs="New Century Schoolbook"/>
    </w:rPr>
  </w:style>
  <w:style w:type="paragraph" w:styleId="TOC3">
    <w:name w:val="toc 3"/>
    <w:basedOn w:val="Normal"/>
    <w:next w:val="Normal"/>
    <w:autoRedefine/>
    <w:uiPriority w:val="39"/>
    <w:rsid w:val="00AB02BF"/>
    <w:pPr>
      <w:spacing w:after="100" w:line="240" w:lineRule="auto"/>
      <w:ind w:left="440"/>
      <w:jc w:val="right"/>
    </w:pPr>
    <w:rPr>
      <w:rFonts w:eastAsia="Calibri" w:cs="New Century Schoolbook"/>
    </w:rPr>
  </w:style>
  <w:style w:type="paragraph" w:styleId="FootnoteText">
    <w:name w:val="footnote text"/>
    <w:basedOn w:val="Normal"/>
    <w:link w:val="FootnoteTextChar"/>
    <w:uiPriority w:val="99"/>
    <w:unhideWhenUsed/>
    <w:rsid w:val="008D3D0C"/>
    <w:pPr>
      <w:spacing w:after="0" w:line="240" w:lineRule="auto"/>
    </w:pPr>
    <w:rPr>
      <w:sz w:val="20"/>
      <w:szCs w:val="20"/>
    </w:rPr>
  </w:style>
  <w:style w:type="character" w:customStyle="1" w:styleId="FootnoteTextChar">
    <w:name w:val="Footnote Text Char"/>
    <w:basedOn w:val="DefaultParagraphFont"/>
    <w:link w:val="FootnoteText"/>
    <w:uiPriority w:val="99"/>
    <w:rsid w:val="008D3D0C"/>
    <w:rPr>
      <w:sz w:val="20"/>
      <w:szCs w:val="20"/>
    </w:rPr>
  </w:style>
  <w:style w:type="character" w:styleId="FootnoteReference">
    <w:name w:val="footnote reference"/>
    <w:basedOn w:val="DefaultParagraphFont"/>
    <w:uiPriority w:val="99"/>
    <w:semiHidden/>
    <w:unhideWhenUsed/>
    <w:rsid w:val="008D3D0C"/>
    <w:rPr>
      <w:vertAlign w:val="superscript"/>
    </w:rPr>
  </w:style>
  <w:style w:type="character" w:styleId="Hyperlink">
    <w:name w:val="Hyperlink"/>
    <w:basedOn w:val="DefaultParagraphFont"/>
    <w:uiPriority w:val="99"/>
    <w:unhideWhenUsed/>
    <w:rsid w:val="00771C57"/>
    <w:rPr>
      <w:color w:val="0000FF" w:themeColor="hyperlink"/>
      <w:u w:val="single"/>
    </w:rPr>
  </w:style>
  <w:style w:type="character" w:customStyle="1" w:styleId="h">
    <w:name w:val="h"/>
    <w:basedOn w:val="DefaultParagraphFont"/>
    <w:rsid w:val="00C578AB"/>
  </w:style>
  <w:style w:type="character" w:styleId="FollowedHyperlink">
    <w:name w:val="FollowedHyperlink"/>
    <w:basedOn w:val="DefaultParagraphFont"/>
    <w:uiPriority w:val="99"/>
    <w:semiHidden/>
    <w:unhideWhenUsed/>
    <w:rsid w:val="00E5570B"/>
    <w:rPr>
      <w:color w:val="800080" w:themeColor="followedHyperlink"/>
      <w:u w:val="single"/>
    </w:rPr>
  </w:style>
  <w:style w:type="paragraph" w:styleId="ListParagraph">
    <w:name w:val="List Paragraph"/>
    <w:basedOn w:val="Normal"/>
    <w:uiPriority w:val="34"/>
    <w:qFormat/>
    <w:rsid w:val="00A916A0"/>
    <w:pPr>
      <w:ind w:left="720"/>
      <w:contextualSpacing/>
    </w:pPr>
  </w:style>
  <w:style w:type="paragraph" w:styleId="Header">
    <w:name w:val="header"/>
    <w:basedOn w:val="Normal"/>
    <w:link w:val="HeaderChar"/>
    <w:uiPriority w:val="99"/>
    <w:unhideWhenUsed/>
    <w:rsid w:val="0082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25"/>
  </w:style>
  <w:style w:type="paragraph" w:styleId="Footer">
    <w:name w:val="footer"/>
    <w:basedOn w:val="Normal"/>
    <w:link w:val="FooterChar"/>
    <w:uiPriority w:val="99"/>
    <w:unhideWhenUsed/>
    <w:rsid w:val="0082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25"/>
  </w:style>
  <w:style w:type="character" w:customStyle="1" w:styleId="Heading1Char">
    <w:name w:val="Heading 1 Char"/>
    <w:basedOn w:val="DefaultParagraphFont"/>
    <w:link w:val="Heading1"/>
    <w:uiPriority w:val="9"/>
    <w:rsid w:val="00AD201B"/>
    <w:rPr>
      <w:b/>
      <w:bCs/>
      <w:sz w:val="24"/>
    </w:rPr>
  </w:style>
  <w:style w:type="character" w:customStyle="1" w:styleId="Heading2Char">
    <w:name w:val="Heading 2 Char"/>
    <w:basedOn w:val="DefaultParagraphFont"/>
    <w:link w:val="Heading2"/>
    <w:uiPriority w:val="9"/>
    <w:rsid w:val="00D374A3"/>
    <w:rPr>
      <w:sz w:val="24"/>
      <w:u w:val="single"/>
    </w:rPr>
  </w:style>
  <w:style w:type="paragraph" w:styleId="TOCHeading">
    <w:name w:val="TOC Heading"/>
    <w:basedOn w:val="Heading1"/>
    <w:next w:val="Normal"/>
    <w:uiPriority w:val="39"/>
    <w:semiHidden/>
    <w:unhideWhenUsed/>
    <w:qFormat/>
    <w:rsid w:val="00434D34"/>
    <w:pPr>
      <w:keepNext/>
      <w:keepLines/>
      <w:bidi w:val="0"/>
      <w:spacing w:before="480" w:after="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BalloonText">
    <w:name w:val="Balloon Text"/>
    <w:basedOn w:val="Normal"/>
    <w:link w:val="BalloonTextChar"/>
    <w:uiPriority w:val="99"/>
    <w:semiHidden/>
    <w:unhideWhenUsed/>
    <w:rsid w:val="0043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250938">
      <w:bodyDiv w:val="1"/>
      <w:marLeft w:val="0"/>
      <w:marRight w:val="0"/>
      <w:marTop w:val="0"/>
      <w:marBottom w:val="0"/>
      <w:divBdr>
        <w:top w:val="none" w:sz="0" w:space="0" w:color="auto"/>
        <w:left w:val="none" w:sz="0" w:space="0" w:color="auto"/>
        <w:bottom w:val="none" w:sz="0" w:space="0" w:color="auto"/>
        <w:right w:val="none" w:sz="0" w:space="0" w:color="auto"/>
      </w:divBdr>
    </w:div>
    <w:div w:id="18839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nyurl.com/2w8yvbs" TargetMode="External"/><Relationship Id="rId13" Type="http://schemas.openxmlformats.org/officeDocument/2006/relationships/hyperlink" Target="http://tinyurl.com/nsmnu6x" TargetMode="External"/><Relationship Id="rId3" Type="http://schemas.openxmlformats.org/officeDocument/2006/relationships/hyperlink" Target="http://tinyurl.com/24v642q" TargetMode="External"/><Relationship Id="rId7" Type="http://schemas.openxmlformats.org/officeDocument/2006/relationships/hyperlink" Target="http://tinyurl.com/qebubzq" TargetMode="External"/><Relationship Id="rId12" Type="http://schemas.openxmlformats.org/officeDocument/2006/relationships/hyperlink" Target="http://tinyurl.com/o6y7b2y" TargetMode="External"/><Relationship Id="rId2" Type="http://schemas.openxmlformats.org/officeDocument/2006/relationships/hyperlink" Target="http://tinyurl.com/jvs2wcc" TargetMode="External"/><Relationship Id="rId1" Type="http://schemas.openxmlformats.org/officeDocument/2006/relationships/hyperlink" Target="mailto:ori.aronson@biu.ac.il" TargetMode="External"/><Relationship Id="rId6" Type="http://schemas.openxmlformats.org/officeDocument/2006/relationships/hyperlink" Target="http://www.huka.gov.il/wiki/makor/39.pdf" TargetMode="External"/><Relationship Id="rId11" Type="http://schemas.openxmlformats.org/officeDocument/2006/relationships/hyperlink" Target="http://tinyurl.com/76fen9c" TargetMode="External"/><Relationship Id="rId5" Type="http://schemas.openxmlformats.org/officeDocument/2006/relationships/hyperlink" Target="http://tinyurl.com/p3uuo5v" TargetMode="External"/><Relationship Id="rId10" Type="http://schemas.openxmlformats.org/officeDocument/2006/relationships/hyperlink" Target="http://tinyurl.com/7kkuah" TargetMode="External"/><Relationship Id="rId4" Type="http://schemas.openxmlformats.org/officeDocument/2006/relationships/hyperlink" Target="http://tinyurl.com/29ksfs5" TargetMode="External"/><Relationship Id="rId9" Type="http://schemas.openxmlformats.org/officeDocument/2006/relationships/hyperlink" Target="http://tinyurl.com/pe6nz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4D3F-154D-40CA-B36E-C36C214C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14700</Words>
  <Characters>83793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cp:lastModifiedBy>
  <cp:revision>8</cp:revision>
  <cp:lastPrinted>2014-01-28T15:22:00Z</cp:lastPrinted>
  <dcterms:created xsi:type="dcterms:W3CDTF">2014-01-28T15:11:00Z</dcterms:created>
  <dcterms:modified xsi:type="dcterms:W3CDTF">2014-01-28T15:28:00Z</dcterms:modified>
</cp:coreProperties>
</file>