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40A0D" w14:textId="77777777" w:rsidR="00261688" w:rsidRPr="00830126" w:rsidRDefault="00261688" w:rsidP="00261688">
      <w:pPr>
        <w:bidi w:val="0"/>
        <w:spacing w:line="240" w:lineRule="auto"/>
        <w:jc w:val="both"/>
        <w:rPr>
          <w:rFonts w:ascii="Helvetica" w:hAnsi="Helvetica" w:cs="Helvetica"/>
          <w:b/>
          <w:bCs/>
          <w:sz w:val="32"/>
          <w:szCs w:val="32"/>
        </w:rPr>
      </w:pPr>
      <w:r w:rsidRPr="00830126">
        <w:rPr>
          <w:rFonts w:ascii="Helvetica" w:hAnsi="Helvetica" w:cs="Helvetica"/>
          <w:b/>
          <w:bCs/>
          <w:sz w:val="32"/>
          <w:szCs w:val="32"/>
        </w:rPr>
        <w:t>Democratic Culture 21</w:t>
      </w:r>
    </w:p>
    <w:p w14:paraId="0FE27C94" w14:textId="77777777" w:rsidR="00261688" w:rsidRPr="00D83CE6" w:rsidRDefault="00261688" w:rsidP="00261688">
      <w:pPr>
        <w:bidi w:val="0"/>
        <w:jc w:val="both"/>
        <w:rPr>
          <w:rFonts w:ascii="Helvetica" w:hAnsi="Helvetica" w:cs="Helvetica"/>
        </w:rPr>
      </w:pPr>
      <w:r w:rsidRPr="006661CE">
        <w:rPr>
          <w:rFonts w:ascii="Helvetica" w:hAnsi="Helvetica" w:cs="Helvetica"/>
          <w:b/>
          <w:bCs/>
        </w:rPr>
        <w:t>Editors:</w:t>
      </w:r>
      <w:r w:rsidRPr="006661CE">
        <w:rPr>
          <w:rFonts w:ascii="Helvetica" w:hAnsi="Helvetica" w:cs="Helvetica"/>
        </w:rPr>
        <w:t xml:space="preserve"> Prof. Yedidia Stern, Prof. Avi Sagi, </w:t>
      </w:r>
      <w:r>
        <w:rPr>
          <w:rFonts w:ascii="Helvetica" w:hAnsi="Helvetica" w:cs="Helvetica"/>
        </w:rPr>
        <w:t xml:space="preserve">Dr. </w:t>
      </w:r>
      <w:r w:rsidRPr="006661CE">
        <w:rPr>
          <w:rFonts w:ascii="Helvetica" w:hAnsi="Helvetica" w:cs="Helvetica"/>
        </w:rPr>
        <w:t>Hanan Mandel.</w:t>
      </w:r>
    </w:p>
    <w:p w14:paraId="7ED1E3CC" w14:textId="77777777" w:rsidR="00261688" w:rsidRPr="00955E96" w:rsidRDefault="00261688" w:rsidP="00261688">
      <w:pPr>
        <w:bidi w:val="0"/>
        <w:spacing w:line="240" w:lineRule="auto"/>
        <w:jc w:val="both"/>
        <w:rPr>
          <w:rFonts w:ascii="Helvetica" w:hAnsi="Helvetica" w:cs="Helvetica"/>
          <w:b/>
          <w:bCs/>
        </w:rPr>
      </w:pPr>
      <w:r w:rsidRPr="00CD0C00">
        <w:rPr>
          <w:rFonts w:ascii="Helvetica" w:hAnsi="Helvetica" w:cs="Helvetica"/>
          <w:b/>
          <w:bCs/>
        </w:rPr>
        <w:t>Abstracts</w:t>
      </w:r>
    </w:p>
    <w:p w14:paraId="551D057D" w14:textId="77777777" w:rsidR="00261688" w:rsidRDefault="00261688" w:rsidP="00261688">
      <w:pPr>
        <w:bidi w:val="0"/>
        <w:spacing w:line="240" w:lineRule="auto"/>
        <w:jc w:val="both"/>
        <w:rPr>
          <w:rFonts w:ascii="Helvetica" w:hAnsi="Helvetica" w:cs="Helvetica"/>
          <w:b/>
          <w:bCs/>
        </w:rPr>
      </w:pPr>
      <w:r w:rsidRPr="003A5D62">
        <w:rPr>
          <w:rFonts w:ascii="Helvetica" w:hAnsi="Helvetica" w:cs="Helvetica"/>
          <w:b/>
          <w:bCs/>
        </w:rPr>
        <w:t>Berlin, Disraeli, Al-Omar: The Nation State and Beyond</w:t>
      </w:r>
    </w:p>
    <w:p w14:paraId="55687A54" w14:textId="77777777" w:rsidR="00261688" w:rsidRPr="00766D81" w:rsidRDefault="00261688" w:rsidP="00261688">
      <w:pPr>
        <w:bidi w:val="0"/>
        <w:spacing w:line="240" w:lineRule="auto"/>
        <w:jc w:val="both"/>
        <w:rPr>
          <w:rFonts w:ascii="Helvetica" w:hAnsi="Helvetica" w:cs="Helvetica"/>
        </w:rPr>
      </w:pPr>
      <w:r w:rsidRPr="00766D81">
        <w:rPr>
          <w:rFonts w:ascii="Helvetica" w:hAnsi="Helvetica" w:cs="Helvetica"/>
        </w:rPr>
        <w:t>Gal Amir</w:t>
      </w:r>
    </w:p>
    <w:p w14:paraId="2429D444" w14:textId="77777777" w:rsidR="00261688" w:rsidRDefault="00261688" w:rsidP="00261688">
      <w:pPr>
        <w:bidi w:val="0"/>
        <w:jc w:val="both"/>
        <w:rPr>
          <w:rFonts w:ascii="Helvetica" w:hAnsi="Helvetica" w:cs="Helvetica"/>
        </w:rPr>
      </w:pPr>
      <w:r w:rsidRPr="003B5687">
        <w:rPr>
          <w:rFonts w:ascii="Helvetica" w:hAnsi="Helvetica" w:cs="Helvetica"/>
        </w:rPr>
        <w:t>In light of recent developments in the Middle East - mainly the failure of the “sovereign nation state” model in countries such as Syria, Yemen, and Libya, as opposed to attempts to strengthen and anchor this model in Israel by enacting Basic Law: Israel, the Nation State of the Jewish People - this article attempts to formulate a legal and political model that would not fail where a number of nations share a common territory.</w:t>
      </w:r>
      <w:r w:rsidRPr="003B5687">
        <w:rPr>
          <w:rFonts w:ascii="Helvetica" w:hAnsi="Helvetica" w:cs="Helvetica"/>
          <w:rtl/>
        </w:rPr>
        <w:t xml:space="preserve"> </w:t>
      </w:r>
      <w:r w:rsidRPr="003B5687">
        <w:rPr>
          <w:rFonts w:ascii="Helvetica" w:hAnsi="Helvetica" w:cs="Helvetica"/>
        </w:rPr>
        <w:t>Such models can be found in the writings of thinkers such as Anthony Giddens, who speaks of "cosmopolitan democracy" on a regional or global scale. This article sought such a model in an unexpected place - the writings of 19-century British Prime Minister Benjamin Disraeli, aka "the father of modern conservatism." This paper is based on contextual genealogy, guided by the interpretation of Nation &amp; Empire concepts as narrated by philosopher Isaiah Berlin. It attempts to formulate conceptual political structures that go beyond the sovereign nation-state idea, hoping to mend some of its flaws, while keeping solid liberal ground by using Berlin's ​​"value pluralism” idea, ultimately glancing at 18</w:t>
      </w:r>
      <w:r w:rsidRPr="003B5687">
        <w:rPr>
          <w:rFonts w:ascii="Helvetica" w:hAnsi="Helvetica" w:cs="Helvetica"/>
          <w:vertAlign w:val="superscript"/>
        </w:rPr>
        <w:t>th</w:t>
      </w:r>
      <w:r w:rsidRPr="003B5687">
        <w:rPr>
          <w:rFonts w:ascii="Helvetica" w:hAnsi="Helvetica" w:cs="Helvetica"/>
        </w:rPr>
        <w:t xml:space="preserve"> century Palestine, a small yet multi-national territory, ruled by Bedouin chief </w:t>
      </w:r>
      <w:proofErr w:type="spellStart"/>
      <w:r w:rsidRPr="003B5687">
        <w:rPr>
          <w:rFonts w:ascii="Helvetica" w:hAnsi="Helvetica" w:cs="Helvetica"/>
        </w:rPr>
        <w:t>D’aher</w:t>
      </w:r>
      <w:proofErr w:type="spellEnd"/>
      <w:r w:rsidRPr="003B5687">
        <w:rPr>
          <w:rFonts w:ascii="Helvetica" w:hAnsi="Helvetica" w:cs="Helvetica"/>
        </w:rPr>
        <w:t xml:space="preserve"> al-Omar.</w:t>
      </w:r>
    </w:p>
    <w:p w14:paraId="73C0EFD2" w14:textId="77777777" w:rsidR="00261688" w:rsidRDefault="00261688" w:rsidP="00261688">
      <w:pPr>
        <w:bidi w:val="0"/>
        <w:jc w:val="both"/>
        <w:rPr>
          <w:rFonts w:ascii="Helvetica" w:hAnsi="Helvetica" w:cs="Helvetica"/>
        </w:rPr>
      </w:pPr>
    </w:p>
    <w:p w14:paraId="4BBD3131" w14:textId="77777777" w:rsidR="00261688" w:rsidRPr="00805AAA" w:rsidRDefault="00261688" w:rsidP="00261688">
      <w:pPr>
        <w:bidi w:val="0"/>
        <w:jc w:val="both"/>
        <w:rPr>
          <w:rFonts w:ascii="Helvetica" w:hAnsi="Helvetica" w:cs="Helvetica"/>
          <w:b/>
          <w:bCs/>
        </w:rPr>
      </w:pPr>
      <w:r w:rsidRPr="00805AAA">
        <w:rPr>
          <w:rFonts w:ascii="Helvetica" w:hAnsi="Helvetica" w:cs="Helvetica"/>
          <w:b/>
          <w:bCs/>
        </w:rPr>
        <w:t xml:space="preserve">Education and Freedom of Speech: </w:t>
      </w:r>
      <w:proofErr w:type="gramStart"/>
      <w:r w:rsidRPr="00805AAA">
        <w:rPr>
          <w:rFonts w:ascii="Helvetica" w:hAnsi="Helvetica" w:cs="Helvetica"/>
          <w:b/>
          <w:bCs/>
        </w:rPr>
        <w:t>A Practice</w:t>
      </w:r>
      <w:proofErr w:type="gramEnd"/>
      <w:r w:rsidRPr="00805AAA">
        <w:rPr>
          <w:rFonts w:ascii="Helvetica" w:hAnsi="Helvetica" w:cs="Helvetica"/>
          <w:b/>
          <w:bCs/>
        </w:rPr>
        <w:t xml:space="preserve">, </w:t>
      </w:r>
      <w:proofErr w:type="gramStart"/>
      <w:r w:rsidRPr="00805AAA">
        <w:rPr>
          <w:rFonts w:ascii="Helvetica" w:hAnsi="Helvetica" w:cs="Helvetica"/>
          <w:b/>
          <w:bCs/>
        </w:rPr>
        <w:t>Not</w:t>
      </w:r>
      <w:proofErr w:type="gramEnd"/>
      <w:r w:rsidRPr="00805AAA">
        <w:rPr>
          <w:rFonts w:ascii="Helvetica" w:hAnsi="Helvetica" w:cs="Helvetica"/>
          <w:b/>
          <w:bCs/>
        </w:rPr>
        <w:t xml:space="preserve"> a</w:t>
      </w:r>
      <w:r>
        <w:rPr>
          <w:rFonts w:ascii="Helvetica" w:hAnsi="Helvetica" w:cs="Helvetica"/>
          <w:b/>
          <w:bCs/>
        </w:rPr>
        <w:t xml:space="preserve"> </w:t>
      </w:r>
      <w:proofErr w:type="gramStart"/>
      <w:r w:rsidRPr="00805AAA">
        <w:rPr>
          <w:rFonts w:ascii="Helvetica" w:hAnsi="Helvetica" w:cs="Helvetica"/>
          <w:b/>
          <w:bCs/>
        </w:rPr>
        <w:t>Principle</w:t>
      </w:r>
      <w:proofErr w:type="gramEnd"/>
    </w:p>
    <w:p w14:paraId="3414FFD7" w14:textId="77777777" w:rsidR="00261688" w:rsidRDefault="00261688" w:rsidP="00261688">
      <w:pPr>
        <w:bidi w:val="0"/>
        <w:jc w:val="both"/>
        <w:rPr>
          <w:rFonts w:ascii="Helvetica" w:hAnsi="Helvetica" w:cs="Helvetica"/>
        </w:rPr>
      </w:pPr>
      <w:r w:rsidRPr="00805AAA">
        <w:rPr>
          <w:rFonts w:ascii="Helvetica" w:hAnsi="Helvetica" w:cs="Helvetica"/>
        </w:rPr>
        <w:t xml:space="preserve">Kobi </w:t>
      </w:r>
      <w:proofErr w:type="spellStart"/>
      <w:r w:rsidRPr="00805AAA">
        <w:rPr>
          <w:rFonts w:ascii="Helvetica" w:hAnsi="Helvetica" w:cs="Helvetica"/>
        </w:rPr>
        <w:t>Assoulin</w:t>
      </w:r>
      <w:proofErr w:type="spellEnd"/>
      <w:r w:rsidRPr="003B5687">
        <w:rPr>
          <w:rFonts w:ascii="Helvetica" w:hAnsi="Helvetica" w:cs="Helvetica"/>
        </w:rPr>
        <w:t xml:space="preserve"> </w:t>
      </w:r>
    </w:p>
    <w:p w14:paraId="24A7A92F" w14:textId="77777777" w:rsidR="00261688" w:rsidRDefault="00261688" w:rsidP="00261688">
      <w:pPr>
        <w:bidi w:val="0"/>
        <w:spacing w:line="240" w:lineRule="auto"/>
        <w:jc w:val="both"/>
        <w:rPr>
          <w:rFonts w:ascii="Helvetica" w:hAnsi="Helvetica" w:cs="Helvetica"/>
        </w:rPr>
      </w:pPr>
      <w:r w:rsidRPr="008E0C58">
        <w:rPr>
          <w:rFonts w:ascii="Helvetica" w:hAnsi="Helvetica" w:cs="Helvetica"/>
        </w:rPr>
        <w:t>Freedom of Speech (FS) is an uncontestable liberal principle, at least</w:t>
      </w:r>
      <w:r>
        <w:rPr>
          <w:rFonts w:ascii="Helvetica" w:hAnsi="Helvetica" w:cs="Helvetica"/>
        </w:rPr>
        <w:t xml:space="preserve"> </w:t>
      </w:r>
      <w:r w:rsidRPr="008E0C58">
        <w:rPr>
          <w:rFonts w:ascii="Helvetica" w:hAnsi="Helvetica" w:cs="Helvetica"/>
        </w:rPr>
        <w:t>theoretically. In the educational sphere, however, it prompts unusually heated</w:t>
      </w:r>
      <w:r>
        <w:rPr>
          <w:rFonts w:ascii="Helvetica" w:hAnsi="Helvetica" w:cs="Helvetica"/>
        </w:rPr>
        <w:t xml:space="preserve"> </w:t>
      </w:r>
      <w:r w:rsidRPr="008E0C58">
        <w:rPr>
          <w:rFonts w:ascii="Helvetica" w:hAnsi="Helvetica" w:cs="Helvetica"/>
        </w:rPr>
        <w:t>public disputes about the limitations of this freedom. I argue that this</w:t>
      </w:r>
      <w:r>
        <w:rPr>
          <w:rFonts w:ascii="Helvetica" w:hAnsi="Helvetica" w:cs="Helvetica"/>
        </w:rPr>
        <w:t xml:space="preserve"> </w:t>
      </w:r>
      <w:r w:rsidRPr="008E0C58">
        <w:rPr>
          <w:rFonts w:ascii="Helvetica" w:hAnsi="Helvetica" w:cs="Helvetica"/>
        </w:rPr>
        <w:t>phenomenon reflects confusion: FS in the educational sphere should not be</w:t>
      </w:r>
      <w:r>
        <w:rPr>
          <w:rFonts w:ascii="Helvetica" w:hAnsi="Helvetica" w:cs="Helvetica"/>
        </w:rPr>
        <w:t xml:space="preserve"> </w:t>
      </w:r>
      <w:r w:rsidRPr="008E0C58">
        <w:rPr>
          <w:rFonts w:ascii="Helvetica" w:hAnsi="Helvetica" w:cs="Helvetica"/>
        </w:rPr>
        <w:t>regarded as a political principle but as an educational practice. In the public</w:t>
      </w:r>
      <w:r>
        <w:rPr>
          <w:rFonts w:ascii="Helvetica" w:hAnsi="Helvetica" w:cs="Helvetica"/>
        </w:rPr>
        <w:t xml:space="preserve"> </w:t>
      </w:r>
      <w:r w:rsidRPr="008E0C58">
        <w:rPr>
          <w:rFonts w:ascii="Helvetica" w:hAnsi="Helvetica" w:cs="Helvetica"/>
        </w:rPr>
        <w:t>sphere, FS is associated with key liberal concepts such as ‘negative freedom’</w:t>
      </w:r>
      <w:r>
        <w:rPr>
          <w:rFonts w:ascii="Helvetica" w:hAnsi="Helvetica" w:cs="Helvetica"/>
        </w:rPr>
        <w:t xml:space="preserve">, </w:t>
      </w:r>
      <w:r w:rsidRPr="008E0C58">
        <w:rPr>
          <w:rFonts w:ascii="Helvetica" w:hAnsi="Helvetica" w:cs="Helvetica"/>
        </w:rPr>
        <w:t>‘</w:t>
      </w:r>
      <w:proofErr w:type="gramStart"/>
      <w:r w:rsidRPr="008E0C58">
        <w:rPr>
          <w:rFonts w:ascii="Helvetica" w:hAnsi="Helvetica" w:cs="Helvetica"/>
        </w:rPr>
        <w:t>neutrality,’ ‘</w:t>
      </w:r>
      <w:proofErr w:type="gramEnd"/>
      <w:r w:rsidRPr="008E0C58">
        <w:rPr>
          <w:rFonts w:ascii="Helvetica" w:hAnsi="Helvetica" w:cs="Helvetica"/>
        </w:rPr>
        <w:t>equal respect’ and ‘autonomy.’ In this context, it is constructed</w:t>
      </w:r>
      <w:r>
        <w:rPr>
          <w:rFonts w:ascii="Helvetica" w:hAnsi="Helvetica" w:cs="Helvetica"/>
        </w:rPr>
        <w:t xml:space="preserve"> </w:t>
      </w:r>
      <w:r w:rsidRPr="008E0C58">
        <w:rPr>
          <w:rFonts w:ascii="Helvetica" w:hAnsi="Helvetica" w:cs="Helvetica"/>
        </w:rPr>
        <w:t>and formulated as a principle. In the context of education, this framework is</w:t>
      </w:r>
      <w:r>
        <w:rPr>
          <w:rFonts w:ascii="Helvetica" w:hAnsi="Helvetica" w:cs="Helvetica"/>
        </w:rPr>
        <w:t xml:space="preserve"> </w:t>
      </w:r>
      <w:r w:rsidRPr="008E0C58">
        <w:rPr>
          <w:rFonts w:ascii="Helvetica" w:hAnsi="Helvetica" w:cs="Helvetica"/>
        </w:rPr>
        <w:t>problematic and harmful. The functional gap between FS in the public and</w:t>
      </w:r>
      <w:r>
        <w:rPr>
          <w:rFonts w:ascii="Helvetica" w:hAnsi="Helvetica" w:cs="Helvetica"/>
        </w:rPr>
        <w:t xml:space="preserve"> </w:t>
      </w:r>
      <w:r w:rsidRPr="008E0C58">
        <w:rPr>
          <w:rFonts w:ascii="Helvetica" w:hAnsi="Helvetica" w:cs="Helvetica"/>
        </w:rPr>
        <w:t>educational spheres can be understood with the help of the pragmatist insight</w:t>
      </w:r>
      <w:r>
        <w:rPr>
          <w:rFonts w:ascii="Helvetica" w:hAnsi="Helvetica" w:cs="Helvetica"/>
        </w:rPr>
        <w:t xml:space="preserve"> </w:t>
      </w:r>
      <w:r w:rsidRPr="008E0C58">
        <w:rPr>
          <w:rFonts w:ascii="Helvetica" w:hAnsi="Helvetica" w:cs="Helvetica"/>
        </w:rPr>
        <w:t>that denies the reality of principles as entities with absolute semantic content.</w:t>
      </w:r>
      <w:r>
        <w:rPr>
          <w:rFonts w:ascii="Helvetica" w:hAnsi="Helvetica" w:cs="Helvetica"/>
        </w:rPr>
        <w:t xml:space="preserve"> </w:t>
      </w:r>
      <w:r w:rsidRPr="008E0C58">
        <w:rPr>
          <w:rFonts w:ascii="Helvetica" w:hAnsi="Helvetica" w:cs="Helvetica"/>
        </w:rPr>
        <w:t>Concepts can only be understood contextually and holistically. Thus, we</w:t>
      </w:r>
      <w:r>
        <w:rPr>
          <w:rFonts w:ascii="Helvetica" w:hAnsi="Helvetica" w:cs="Helvetica"/>
        </w:rPr>
        <w:t xml:space="preserve"> </w:t>
      </w:r>
      <w:r w:rsidRPr="008E0C58">
        <w:rPr>
          <w:rFonts w:ascii="Helvetica" w:hAnsi="Helvetica" w:cs="Helvetica"/>
        </w:rPr>
        <w:t>should question the usefulness of conceiving of FS as a 'principle' in the</w:t>
      </w:r>
      <w:r>
        <w:rPr>
          <w:rFonts w:ascii="Helvetica" w:hAnsi="Helvetica" w:cs="Helvetica"/>
        </w:rPr>
        <w:t xml:space="preserve"> </w:t>
      </w:r>
      <w:r w:rsidRPr="008E0C58">
        <w:rPr>
          <w:rFonts w:ascii="Helvetica" w:hAnsi="Helvetica" w:cs="Helvetica"/>
        </w:rPr>
        <w:t>context of education. The educational sphere makes use of a range of</w:t>
      </w:r>
      <w:r>
        <w:rPr>
          <w:rFonts w:ascii="Helvetica" w:hAnsi="Helvetica" w:cs="Helvetica"/>
        </w:rPr>
        <w:t xml:space="preserve"> </w:t>
      </w:r>
      <w:r w:rsidRPr="008E0C58">
        <w:rPr>
          <w:rFonts w:ascii="Helvetica" w:hAnsi="Helvetica" w:cs="Helvetica"/>
        </w:rPr>
        <w:t>concepts such as paternalism, lack of autonomy, and perfectionism, which we</w:t>
      </w:r>
      <w:r>
        <w:rPr>
          <w:rFonts w:ascii="Helvetica" w:hAnsi="Helvetica" w:cs="Helvetica"/>
        </w:rPr>
        <w:t xml:space="preserve"> </w:t>
      </w:r>
      <w:r w:rsidRPr="008E0C58">
        <w:rPr>
          <w:rFonts w:ascii="Helvetica" w:hAnsi="Helvetica" w:cs="Helvetica"/>
        </w:rPr>
        <w:t>usually seek to exclude from the civic, public sphere. This requires that we</w:t>
      </w:r>
      <w:r>
        <w:rPr>
          <w:rFonts w:ascii="Helvetica" w:hAnsi="Helvetica" w:cs="Helvetica"/>
        </w:rPr>
        <w:t xml:space="preserve"> </w:t>
      </w:r>
      <w:r w:rsidRPr="008E0C58">
        <w:rPr>
          <w:rFonts w:ascii="Helvetica" w:hAnsi="Helvetica" w:cs="Helvetica"/>
        </w:rPr>
        <w:t>relate to discourse and speech differently, and that we understand FS using</w:t>
      </w:r>
      <w:r>
        <w:rPr>
          <w:rFonts w:ascii="Helvetica" w:hAnsi="Helvetica" w:cs="Helvetica"/>
        </w:rPr>
        <w:t xml:space="preserve"> </w:t>
      </w:r>
      <w:r w:rsidRPr="008E0C58">
        <w:rPr>
          <w:rFonts w:ascii="Helvetica" w:hAnsi="Helvetica" w:cs="Helvetica"/>
        </w:rPr>
        <w:t xml:space="preserve">the metaphor of </w:t>
      </w:r>
      <w:r w:rsidRPr="008E0C58">
        <w:rPr>
          <w:rFonts w:ascii="Helvetica" w:hAnsi="Helvetica" w:cs="Helvetica"/>
        </w:rPr>
        <w:lastRenderedPageBreak/>
        <w:t>‘practice’ rather than ‘principle.’ In civic discourse, FS is</w:t>
      </w:r>
      <w:r>
        <w:rPr>
          <w:rFonts w:ascii="Helvetica" w:hAnsi="Helvetica" w:cs="Helvetica"/>
        </w:rPr>
        <w:t xml:space="preserve"> </w:t>
      </w:r>
      <w:r w:rsidRPr="008E0C58">
        <w:rPr>
          <w:rFonts w:ascii="Helvetica" w:hAnsi="Helvetica" w:cs="Helvetica"/>
        </w:rPr>
        <w:t>generally understood as derived from the presumption of equal respect, which</w:t>
      </w:r>
      <w:r>
        <w:rPr>
          <w:rFonts w:ascii="Helvetica" w:hAnsi="Helvetica" w:cs="Helvetica"/>
        </w:rPr>
        <w:t xml:space="preserve"> </w:t>
      </w:r>
      <w:r w:rsidRPr="008E0C58">
        <w:rPr>
          <w:rFonts w:ascii="Helvetica" w:hAnsi="Helvetica" w:cs="Helvetica"/>
        </w:rPr>
        <w:t xml:space="preserve">in turn originates from the assumption that all individuals are autonomous. </w:t>
      </w:r>
      <w:proofErr w:type="spellStart"/>
      <w:r w:rsidRPr="008E0C58">
        <w:rPr>
          <w:rFonts w:ascii="Helvetica" w:hAnsi="Helvetica" w:cs="Helvetica"/>
        </w:rPr>
        <w:t>Inthe</w:t>
      </w:r>
      <w:proofErr w:type="spellEnd"/>
      <w:r w:rsidRPr="008E0C58">
        <w:rPr>
          <w:rFonts w:ascii="Helvetica" w:hAnsi="Helvetica" w:cs="Helvetica"/>
        </w:rPr>
        <w:t xml:space="preserve"> educational sphere, however, autonomy is not an assumption but a goal.</w:t>
      </w:r>
      <w:r>
        <w:rPr>
          <w:rFonts w:ascii="Helvetica" w:hAnsi="Helvetica" w:cs="Helvetica"/>
        </w:rPr>
        <w:t xml:space="preserve"> </w:t>
      </w:r>
      <w:r w:rsidRPr="008E0C58">
        <w:rPr>
          <w:rFonts w:ascii="Helvetica" w:hAnsi="Helvetica" w:cs="Helvetica"/>
        </w:rPr>
        <w:t>That is, educators are obligated to cultivate autonomy in their students rather</w:t>
      </w:r>
      <w:r>
        <w:rPr>
          <w:rFonts w:ascii="Helvetica" w:hAnsi="Helvetica" w:cs="Helvetica"/>
        </w:rPr>
        <w:t xml:space="preserve"> </w:t>
      </w:r>
      <w:r w:rsidRPr="008E0C58">
        <w:rPr>
          <w:rFonts w:ascii="Helvetica" w:hAnsi="Helvetica" w:cs="Helvetica"/>
        </w:rPr>
        <w:t>than just assuming they possess it. Accordingly, FS is justified only in so far</w:t>
      </w:r>
      <w:r>
        <w:rPr>
          <w:rFonts w:ascii="Helvetica" w:hAnsi="Helvetica" w:cs="Helvetica"/>
        </w:rPr>
        <w:t xml:space="preserve"> </w:t>
      </w:r>
      <w:r w:rsidRPr="008E0C58">
        <w:rPr>
          <w:rFonts w:ascii="Helvetica" w:hAnsi="Helvetica" w:cs="Helvetica"/>
        </w:rPr>
        <w:t xml:space="preserve">as it serves the cultivation of autonomy. FS, in this context, is not </w:t>
      </w:r>
      <w:proofErr w:type="gramStart"/>
      <w:r w:rsidRPr="008E0C58">
        <w:rPr>
          <w:rFonts w:ascii="Helvetica" w:hAnsi="Helvetica" w:cs="Helvetica"/>
        </w:rPr>
        <w:t>the</w:t>
      </w:r>
      <w:proofErr w:type="gramEnd"/>
      <w:r>
        <w:rPr>
          <w:rFonts w:ascii="Helvetica" w:hAnsi="Helvetica" w:cs="Helvetica"/>
        </w:rPr>
        <w:t xml:space="preserve"> </w:t>
      </w:r>
      <w:r w:rsidRPr="008E0C58">
        <w:rPr>
          <w:rFonts w:ascii="Helvetica" w:hAnsi="Helvetica" w:cs="Helvetica"/>
        </w:rPr>
        <w:t>expression of autonomy but a means of training students to develop it. This</w:t>
      </w:r>
      <w:r>
        <w:rPr>
          <w:rFonts w:ascii="Helvetica" w:hAnsi="Helvetica" w:cs="Helvetica"/>
        </w:rPr>
        <w:t xml:space="preserve"> </w:t>
      </w:r>
      <w:r w:rsidRPr="008E0C58">
        <w:rPr>
          <w:rFonts w:ascii="Helvetica" w:hAnsi="Helvetica" w:cs="Helvetica"/>
        </w:rPr>
        <w:t>training contains a range of features, including dialogism, experiments, and</w:t>
      </w:r>
      <w:r>
        <w:rPr>
          <w:rFonts w:ascii="Helvetica" w:hAnsi="Helvetica" w:cs="Helvetica"/>
        </w:rPr>
        <w:t xml:space="preserve"> </w:t>
      </w:r>
      <w:proofErr w:type="gramStart"/>
      <w:r w:rsidRPr="008E0C58">
        <w:rPr>
          <w:rFonts w:ascii="Helvetica" w:hAnsi="Helvetica" w:cs="Helvetica"/>
        </w:rPr>
        <w:t>objection</w:t>
      </w:r>
      <w:proofErr w:type="gramEnd"/>
      <w:r w:rsidRPr="008E0C58">
        <w:rPr>
          <w:rFonts w:ascii="Helvetica" w:hAnsi="Helvetica" w:cs="Helvetica"/>
        </w:rPr>
        <w:t>. Freedom of speech in the educational sphere is thus an</w:t>
      </w:r>
      <w:r>
        <w:rPr>
          <w:rFonts w:ascii="Helvetica" w:hAnsi="Helvetica" w:cs="Helvetica"/>
        </w:rPr>
        <w:t xml:space="preserve"> </w:t>
      </w:r>
      <w:r w:rsidRPr="008E0C58">
        <w:rPr>
          <w:rFonts w:ascii="Helvetica" w:hAnsi="Helvetica" w:cs="Helvetica"/>
        </w:rPr>
        <w:t>epistemological and procedural practice rather than a political principle.</w:t>
      </w:r>
    </w:p>
    <w:p w14:paraId="4F122DE4" w14:textId="77777777" w:rsidR="00261688" w:rsidRDefault="00261688" w:rsidP="00261688">
      <w:pPr>
        <w:bidi w:val="0"/>
        <w:spacing w:line="240" w:lineRule="auto"/>
        <w:jc w:val="both"/>
        <w:rPr>
          <w:rFonts w:ascii="Helvetica" w:hAnsi="Helvetica" w:cs="Helvetica"/>
        </w:rPr>
      </w:pPr>
    </w:p>
    <w:p w14:paraId="0777580D" w14:textId="77777777" w:rsidR="00261688" w:rsidRPr="00A52BCB" w:rsidRDefault="00261688" w:rsidP="00261688">
      <w:pPr>
        <w:bidi w:val="0"/>
        <w:spacing w:line="240" w:lineRule="auto"/>
        <w:jc w:val="both"/>
        <w:rPr>
          <w:rFonts w:ascii="Helvetica" w:hAnsi="Helvetica" w:cs="Helvetica"/>
          <w:b/>
          <w:bCs/>
        </w:rPr>
      </w:pPr>
      <w:r w:rsidRPr="00A52BCB">
        <w:rPr>
          <w:rFonts w:ascii="Helvetica" w:hAnsi="Helvetica" w:cs="Helvetica"/>
          <w:b/>
          <w:bCs/>
        </w:rPr>
        <w:t>Arab Education in a Neo-Liberal Era: A Threat or an</w:t>
      </w:r>
      <w:r>
        <w:rPr>
          <w:rFonts w:ascii="Helvetica" w:hAnsi="Helvetica" w:cs="Helvetica"/>
          <w:b/>
          <w:bCs/>
        </w:rPr>
        <w:t xml:space="preserve"> </w:t>
      </w:r>
      <w:r w:rsidRPr="00A52BCB">
        <w:rPr>
          <w:rFonts w:ascii="Helvetica" w:hAnsi="Helvetica" w:cs="Helvetica"/>
          <w:b/>
          <w:bCs/>
        </w:rPr>
        <w:t>Opportunity for Equality?</w:t>
      </w:r>
    </w:p>
    <w:p w14:paraId="0879A47F" w14:textId="77777777" w:rsidR="00261688" w:rsidRPr="00A52BCB" w:rsidRDefault="00261688" w:rsidP="00261688">
      <w:pPr>
        <w:bidi w:val="0"/>
        <w:spacing w:line="240" w:lineRule="auto"/>
        <w:jc w:val="both"/>
        <w:rPr>
          <w:rFonts w:ascii="Helvetica" w:hAnsi="Helvetica" w:cs="Helvetica"/>
        </w:rPr>
      </w:pPr>
      <w:r w:rsidRPr="00A52BCB">
        <w:rPr>
          <w:rFonts w:ascii="Helvetica" w:hAnsi="Helvetica" w:cs="Helvetica"/>
        </w:rPr>
        <w:t xml:space="preserve">Irit </w:t>
      </w:r>
      <w:proofErr w:type="spellStart"/>
      <w:r w:rsidRPr="00A52BCB">
        <w:rPr>
          <w:rFonts w:ascii="Helvetica" w:hAnsi="Helvetica" w:cs="Helvetica"/>
        </w:rPr>
        <w:t>Harboun</w:t>
      </w:r>
      <w:proofErr w:type="spellEnd"/>
    </w:p>
    <w:p w14:paraId="3DA85156" w14:textId="77777777" w:rsidR="00261688" w:rsidRDefault="00261688" w:rsidP="00261688">
      <w:pPr>
        <w:bidi w:val="0"/>
        <w:spacing w:line="240" w:lineRule="auto"/>
        <w:jc w:val="both"/>
        <w:rPr>
          <w:rFonts w:ascii="Helvetica" w:hAnsi="Helvetica" w:cs="Helvetica"/>
        </w:rPr>
      </w:pPr>
      <w:r w:rsidRPr="00A52BCB">
        <w:rPr>
          <w:rFonts w:ascii="Helvetica" w:hAnsi="Helvetica" w:cs="Helvetica"/>
        </w:rPr>
        <w:t>Neo-liberalism in education - characterized by the reduction of public</w:t>
      </w:r>
      <w:r>
        <w:rPr>
          <w:rFonts w:ascii="Helvetica" w:hAnsi="Helvetica" w:cs="Helvetica"/>
        </w:rPr>
        <w:t xml:space="preserve"> </w:t>
      </w:r>
      <w:r w:rsidRPr="00A52BCB">
        <w:rPr>
          <w:rFonts w:ascii="Helvetica" w:hAnsi="Helvetica" w:cs="Helvetica"/>
        </w:rPr>
        <w:t>resources, the pursuit of individual achievement, and privatization -</w:t>
      </w:r>
      <w:r>
        <w:rPr>
          <w:rFonts w:ascii="Helvetica" w:hAnsi="Helvetica" w:cs="Helvetica"/>
        </w:rPr>
        <w:t xml:space="preserve"> </w:t>
      </w:r>
      <w:r w:rsidRPr="00A52BCB">
        <w:rPr>
          <w:rFonts w:ascii="Helvetica" w:hAnsi="Helvetica" w:cs="Helvetica"/>
        </w:rPr>
        <w:t>encourages the establishment of privately financed schools that intend to</w:t>
      </w:r>
      <w:r>
        <w:rPr>
          <w:rFonts w:ascii="Helvetica" w:hAnsi="Helvetica" w:cs="Helvetica"/>
        </w:rPr>
        <w:t xml:space="preserve"> </w:t>
      </w:r>
      <w:r w:rsidRPr="00A52BCB">
        <w:rPr>
          <w:rFonts w:ascii="Helvetica" w:hAnsi="Helvetica" w:cs="Helvetica"/>
        </w:rPr>
        <w:t>address the failures of state education and to let parents choose their</w:t>
      </w:r>
      <w:r>
        <w:rPr>
          <w:rFonts w:ascii="Helvetica" w:hAnsi="Helvetica" w:cs="Helvetica"/>
        </w:rPr>
        <w:t xml:space="preserve"> </w:t>
      </w:r>
      <w:r w:rsidRPr="00A52BCB">
        <w:rPr>
          <w:rFonts w:ascii="Helvetica" w:hAnsi="Helvetica" w:cs="Helvetica"/>
        </w:rPr>
        <w:t>children's education. This trend weakens the ability of public education to</w:t>
      </w:r>
      <w:r>
        <w:rPr>
          <w:rFonts w:ascii="Helvetica" w:hAnsi="Helvetica" w:cs="Helvetica"/>
        </w:rPr>
        <w:t xml:space="preserve"> </w:t>
      </w:r>
      <w:r w:rsidRPr="00A52BCB">
        <w:rPr>
          <w:rFonts w:ascii="Helvetica" w:hAnsi="Helvetica" w:cs="Helvetica"/>
        </w:rPr>
        <w:t>reduce gaps and create common citizenship for various population groups in</w:t>
      </w:r>
      <w:r>
        <w:rPr>
          <w:rFonts w:ascii="Helvetica" w:hAnsi="Helvetica" w:cs="Helvetica"/>
        </w:rPr>
        <w:t xml:space="preserve"> </w:t>
      </w:r>
      <w:r w:rsidRPr="00A52BCB">
        <w:rPr>
          <w:rFonts w:ascii="Helvetica" w:hAnsi="Helvetica" w:cs="Helvetica"/>
        </w:rPr>
        <w:t>Israel. While Arab education in Israel suffers from ongoing limitations and</w:t>
      </w:r>
      <w:r>
        <w:rPr>
          <w:rFonts w:ascii="Helvetica" w:hAnsi="Helvetica" w:cs="Helvetica"/>
        </w:rPr>
        <w:t xml:space="preserve"> </w:t>
      </w:r>
      <w:r w:rsidRPr="00A52BCB">
        <w:rPr>
          <w:rFonts w:ascii="Helvetica" w:hAnsi="Helvetica" w:cs="Helvetica"/>
        </w:rPr>
        <w:t>deprivation of resources that influence achievements and restrict the</w:t>
      </w:r>
      <w:r>
        <w:rPr>
          <w:rFonts w:ascii="Helvetica" w:hAnsi="Helvetica" w:cs="Helvetica"/>
        </w:rPr>
        <w:t xml:space="preserve"> </w:t>
      </w:r>
      <w:r w:rsidRPr="00A52BCB">
        <w:rPr>
          <w:rFonts w:ascii="Helvetica" w:hAnsi="Helvetica" w:cs="Helvetica"/>
        </w:rPr>
        <w:t>formation of collective identities, the departure of capable students might</w:t>
      </w:r>
      <w:r>
        <w:rPr>
          <w:rFonts w:ascii="Helvetica" w:hAnsi="Helvetica" w:cs="Helvetica"/>
        </w:rPr>
        <w:t xml:space="preserve"> </w:t>
      </w:r>
      <w:r w:rsidRPr="00A52BCB">
        <w:rPr>
          <w:rFonts w:ascii="Helvetica" w:hAnsi="Helvetica" w:cs="Helvetica"/>
        </w:rPr>
        <w:t xml:space="preserve">contribute to their future </w:t>
      </w:r>
      <w:proofErr w:type="gramStart"/>
      <w:r w:rsidRPr="00A52BCB">
        <w:rPr>
          <w:rFonts w:ascii="Helvetica" w:hAnsi="Helvetica" w:cs="Helvetica"/>
        </w:rPr>
        <w:t>mobility, but</w:t>
      </w:r>
      <w:proofErr w:type="gramEnd"/>
      <w:r w:rsidRPr="00A52BCB">
        <w:rPr>
          <w:rFonts w:ascii="Helvetica" w:hAnsi="Helvetica" w:cs="Helvetica"/>
        </w:rPr>
        <w:t xml:space="preserve"> impairs the option of collective struggle</w:t>
      </w:r>
      <w:r>
        <w:rPr>
          <w:rFonts w:ascii="Helvetica" w:hAnsi="Helvetica" w:cs="Helvetica"/>
        </w:rPr>
        <w:t xml:space="preserve"> </w:t>
      </w:r>
      <w:r w:rsidRPr="00A52BCB">
        <w:rPr>
          <w:rFonts w:ascii="Helvetica" w:hAnsi="Helvetica" w:cs="Helvetica"/>
        </w:rPr>
        <w:t>for civil equality. Therefore, the question is: What are the reactions of the Arab</w:t>
      </w:r>
      <w:r>
        <w:rPr>
          <w:rFonts w:ascii="Helvetica" w:hAnsi="Helvetica" w:cs="Helvetica"/>
        </w:rPr>
        <w:t xml:space="preserve"> </w:t>
      </w:r>
      <w:r w:rsidRPr="00A52BCB">
        <w:rPr>
          <w:rFonts w:ascii="Helvetica" w:hAnsi="Helvetica" w:cs="Helvetica"/>
        </w:rPr>
        <w:t>public to neoliberalism in education?</w:t>
      </w:r>
    </w:p>
    <w:p w14:paraId="7D4528BB" w14:textId="77777777" w:rsidR="00261688" w:rsidRDefault="00261688" w:rsidP="00261688">
      <w:pPr>
        <w:bidi w:val="0"/>
        <w:spacing w:line="240" w:lineRule="auto"/>
        <w:jc w:val="both"/>
        <w:rPr>
          <w:rFonts w:ascii="Helvetica" w:hAnsi="Helvetica" w:cs="Helvetica"/>
        </w:rPr>
      </w:pPr>
      <w:r w:rsidRPr="00A52BCB">
        <w:rPr>
          <w:rFonts w:ascii="Helvetica" w:hAnsi="Helvetica" w:cs="Helvetica"/>
        </w:rPr>
        <w:t>This study argues that the responses of the Arab minority are</w:t>
      </w:r>
      <w:r>
        <w:rPr>
          <w:rFonts w:ascii="Helvetica" w:hAnsi="Helvetica" w:cs="Helvetica"/>
        </w:rPr>
        <w:t xml:space="preserve"> </w:t>
      </w:r>
      <w:r w:rsidRPr="00A52BCB">
        <w:rPr>
          <w:rFonts w:ascii="Helvetica" w:hAnsi="Helvetica" w:cs="Helvetica"/>
        </w:rPr>
        <w:t>characterized by two opposing approaches: One views the establishment of</w:t>
      </w:r>
      <w:r>
        <w:rPr>
          <w:rFonts w:ascii="Helvetica" w:hAnsi="Helvetica" w:cs="Helvetica"/>
        </w:rPr>
        <w:t xml:space="preserve"> </w:t>
      </w:r>
      <w:r w:rsidRPr="00A52BCB">
        <w:rPr>
          <w:rFonts w:ascii="Helvetica" w:hAnsi="Helvetica" w:cs="Helvetica"/>
        </w:rPr>
        <w:t xml:space="preserve">private schools </w:t>
      </w:r>
      <w:proofErr w:type="gramStart"/>
      <w:r w:rsidRPr="00A52BCB">
        <w:rPr>
          <w:rFonts w:ascii="Helvetica" w:hAnsi="Helvetica" w:cs="Helvetica"/>
        </w:rPr>
        <w:t>as a way to</w:t>
      </w:r>
      <w:proofErr w:type="gramEnd"/>
      <w:r w:rsidRPr="00A52BCB">
        <w:rPr>
          <w:rFonts w:ascii="Helvetica" w:hAnsi="Helvetica" w:cs="Helvetica"/>
        </w:rPr>
        <w:t xml:space="preserve"> mobilize consumer status for realizing civic</w:t>
      </w:r>
      <w:r>
        <w:rPr>
          <w:rFonts w:ascii="Helvetica" w:hAnsi="Helvetica" w:cs="Helvetica"/>
        </w:rPr>
        <w:t xml:space="preserve"> </w:t>
      </w:r>
      <w:r w:rsidRPr="00A52BCB">
        <w:rPr>
          <w:rFonts w:ascii="Helvetica" w:hAnsi="Helvetica" w:cs="Helvetica"/>
        </w:rPr>
        <w:t>equality through parental choice of education according to their values, which</w:t>
      </w:r>
      <w:r>
        <w:rPr>
          <w:rFonts w:ascii="Helvetica" w:hAnsi="Helvetica" w:cs="Helvetica"/>
        </w:rPr>
        <w:t xml:space="preserve"> </w:t>
      </w:r>
      <w:r w:rsidRPr="00A52BCB">
        <w:rPr>
          <w:rFonts w:ascii="Helvetica" w:hAnsi="Helvetica" w:cs="Helvetica"/>
        </w:rPr>
        <w:t>was not possible before neoliberalism. The other approach maintains that this</w:t>
      </w:r>
      <w:r>
        <w:rPr>
          <w:rFonts w:ascii="Helvetica" w:hAnsi="Helvetica" w:cs="Helvetica"/>
        </w:rPr>
        <w:t xml:space="preserve"> </w:t>
      </w:r>
      <w:r w:rsidRPr="00A52BCB">
        <w:rPr>
          <w:rFonts w:ascii="Helvetica" w:hAnsi="Helvetica" w:cs="Helvetica"/>
        </w:rPr>
        <w:t xml:space="preserve">reflects the state's withdrawal from its responsibility to its </w:t>
      </w:r>
      <w:proofErr w:type="gramStart"/>
      <w:r w:rsidRPr="00A52BCB">
        <w:rPr>
          <w:rFonts w:ascii="Helvetica" w:hAnsi="Helvetica" w:cs="Helvetica"/>
        </w:rPr>
        <w:t>citizens, and</w:t>
      </w:r>
      <w:proofErr w:type="gramEnd"/>
      <w:r w:rsidRPr="00A52BCB">
        <w:rPr>
          <w:rFonts w:ascii="Helvetica" w:hAnsi="Helvetica" w:cs="Helvetica"/>
        </w:rPr>
        <w:t xml:space="preserve"> sees</w:t>
      </w:r>
      <w:r>
        <w:rPr>
          <w:rFonts w:ascii="Helvetica" w:hAnsi="Helvetica" w:cs="Helvetica"/>
        </w:rPr>
        <w:t xml:space="preserve"> </w:t>
      </w:r>
      <w:r w:rsidRPr="00A52BCB">
        <w:rPr>
          <w:rFonts w:ascii="Helvetica" w:hAnsi="Helvetica" w:cs="Helvetica"/>
        </w:rPr>
        <w:t>parents who send their children to private schools as moving away from the</w:t>
      </w:r>
      <w:r>
        <w:rPr>
          <w:rFonts w:ascii="Helvetica" w:hAnsi="Helvetica" w:cs="Helvetica"/>
        </w:rPr>
        <w:t xml:space="preserve"> </w:t>
      </w:r>
      <w:r w:rsidRPr="00A52BCB">
        <w:rPr>
          <w:rFonts w:ascii="Helvetica" w:hAnsi="Helvetica" w:cs="Helvetica"/>
        </w:rPr>
        <w:t>collective struggle for equality. In their eyes, this phenomenon expands</w:t>
      </w:r>
      <w:r>
        <w:rPr>
          <w:rFonts w:ascii="Helvetica" w:hAnsi="Helvetica" w:cs="Helvetica"/>
        </w:rPr>
        <w:t xml:space="preserve"> </w:t>
      </w:r>
      <w:r w:rsidRPr="00A52BCB">
        <w:rPr>
          <w:rFonts w:ascii="Helvetica" w:hAnsi="Helvetica" w:cs="Helvetica"/>
        </w:rPr>
        <w:t>inequality both within the Arab society and between Jews and Arabs, thereby</w:t>
      </w:r>
      <w:r>
        <w:rPr>
          <w:rFonts w:ascii="Helvetica" w:hAnsi="Helvetica" w:cs="Helvetica"/>
        </w:rPr>
        <w:t xml:space="preserve"> </w:t>
      </w:r>
      <w:r w:rsidRPr="00A52BCB">
        <w:rPr>
          <w:rFonts w:ascii="Helvetica" w:hAnsi="Helvetica" w:cs="Helvetica"/>
        </w:rPr>
        <w:t>harming Arab civilian equality in Israel. This study presents two cases of the</w:t>
      </w:r>
      <w:r>
        <w:rPr>
          <w:rFonts w:ascii="Helvetica" w:hAnsi="Helvetica" w:cs="Helvetica"/>
        </w:rPr>
        <w:t xml:space="preserve"> </w:t>
      </w:r>
      <w:r w:rsidRPr="00A52BCB">
        <w:rPr>
          <w:rFonts w:ascii="Helvetica" w:hAnsi="Helvetica" w:cs="Helvetica"/>
        </w:rPr>
        <w:t>establishment of outstanding Muslim schools in the Arab towns of Umm al-</w:t>
      </w:r>
      <w:r>
        <w:rPr>
          <w:rFonts w:ascii="Helvetica" w:hAnsi="Helvetica" w:cs="Helvetica"/>
        </w:rPr>
        <w:t xml:space="preserve"> </w:t>
      </w:r>
      <w:r w:rsidRPr="00A52BCB">
        <w:rPr>
          <w:rFonts w:ascii="Helvetica" w:hAnsi="Helvetica" w:cs="Helvetica"/>
        </w:rPr>
        <w:t>Fahm and Baqa Jatt, and the struggle of parents in the local municipality of</w:t>
      </w:r>
      <w:r>
        <w:rPr>
          <w:rFonts w:ascii="Helvetica" w:hAnsi="Helvetica" w:cs="Helvetica"/>
        </w:rPr>
        <w:t xml:space="preserve"> </w:t>
      </w:r>
      <w:r w:rsidRPr="00A52BCB">
        <w:rPr>
          <w:rFonts w:ascii="Helvetica" w:hAnsi="Helvetica" w:cs="Helvetica"/>
        </w:rPr>
        <w:t>Iron against the local authority's decision to privatize the local high school.</w:t>
      </w:r>
    </w:p>
    <w:p w14:paraId="61387BA0" w14:textId="77777777" w:rsidR="00261688" w:rsidRDefault="00261688" w:rsidP="00261688">
      <w:pPr>
        <w:bidi w:val="0"/>
        <w:spacing w:line="240" w:lineRule="auto"/>
        <w:jc w:val="both"/>
        <w:rPr>
          <w:rFonts w:ascii="Helvetica" w:hAnsi="Helvetica" w:cs="Helvetica"/>
        </w:rPr>
      </w:pPr>
    </w:p>
    <w:p w14:paraId="4EEBA654" w14:textId="77777777" w:rsidR="00261688" w:rsidRPr="00790D6F" w:rsidRDefault="00261688" w:rsidP="00261688">
      <w:pPr>
        <w:bidi w:val="0"/>
        <w:spacing w:line="240" w:lineRule="auto"/>
        <w:jc w:val="both"/>
        <w:rPr>
          <w:rFonts w:ascii="Helvetica" w:hAnsi="Helvetica" w:cs="Helvetica"/>
          <w:b/>
          <w:bCs/>
        </w:rPr>
      </w:pPr>
      <w:r w:rsidRPr="00790D6F">
        <w:rPr>
          <w:rFonts w:ascii="Helvetica" w:hAnsi="Helvetica" w:cs="Helvetica"/>
          <w:b/>
          <w:bCs/>
        </w:rPr>
        <w:t xml:space="preserve">HCJ 456/71 Sara Barzani v. Minister of Defense </w:t>
      </w:r>
      <w:proofErr w:type="gramStart"/>
      <w:r w:rsidRPr="00790D6F">
        <w:rPr>
          <w:rFonts w:ascii="Helvetica" w:hAnsi="Helvetica" w:cs="Helvetica"/>
          <w:b/>
          <w:bCs/>
        </w:rPr>
        <w:t>in Light of</w:t>
      </w:r>
      <w:proofErr w:type="gramEnd"/>
      <w:r>
        <w:rPr>
          <w:rFonts w:ascii="Helvetica" w:hAnsi="Helvetica" w:cs="Helvetica"/>
          <w:b/>
          <w:bCs/>
        </w:rPr>
        <w:t xml:space="preserve"> </w:t>
      </w:r>
      <w:r w:rsidRPr="00790D6F">
        <w:rPr>
          <w:rFonts w:ascii="Helvetica" w:hAnsi="Helvetica" w:cs="Helvetica"/>
          <w:b/>
          <w:bCs/>
        </w:rPr>
        <w:t>the "Babes in the Woods" Principle</w:t>
      </w:r>
    </w:p>
    <w:p w14:paraId="4158D25C" w14:textId="77777777" w:rsidR="00261688" w:rsidRPr="00790D6F" w:rsidRDefault="00261688" w:rsidP="00261688">
      <w:pPr>
        <w:bidi w:val="0"/>
        <w:spacing w:line="240" w:lineRule="auto"/>
        <w:jc w:val="both"/>
        <w:rPr>
          <w:rFonts w:ascii="Helvetica" w:hAnsi="Helvetica" w:cs="Helvetica"/>
        </w:rPr>
      </w:pPr>
      <w:r w:rsidRPr="00790D6F">
        <w:rPr>
          <w:rFonts w:ascii="Helvetica" w:hAnsi="Helvetica" w:cs="Helvetica"/>
        </w:rPr>
        <w:t>Yaron Silverstein</w:t>
      </w:r>
    </w:p>
    <w:p w14:paraId="078AF834" w14:textId="77777777" w:rsidR="00261688" w:rsidRDefault="00261688" w:rsidP="00261688">
      <w:pPr>
        <w:bidi w:val="0"/>
        <w:spacing w:line="240" w:lineRule="auto"/>
        <w:jc w:val="both"/>
        <w:rPr>
          <w:rFonts w:ascii="Helvetica" w:hAnsi="Helvetica" w:cs="Helvetica"/>
        </w:rPr>
      </w:pPr>
      <w:r w:rsidRPr="00790D6F">
        <w:rPr>
          <w:rFonts w:ascii="Helvetica" w:hAnsi="Helvetica" w:cs="Helvetica"/>
        </w:rPr>
        <w:t>The question of women's mandatory conscription into the Israel Defense</w:t>
      </w:r>
      <w:r>
        <w:rPr>
          <w:rFonts w:ascii="Helvetica" w:hAnsi="Helvetica" w:cs="Helvetica"/>
        </w:rPr>
        <w:t xml:space="preserve"> </w:t>
      </w:r>
      <w:r w:rsidRPr="00790D6F">
        <w:rPr>
          <w:rFonts w:ascii="Helvetica" w:hAnsi="Helvetica" w:cs="Helvetica"/>
        </w:rPr>
        <w:t>Forces (IDF) is in high dispute, mainly in certain sectors of Israeli society. This</w:t>
      </w:r>
      <w:r>
        <w:rPr>
          <w:rFonts w:ascii="Helvetica" w:hAnsi="Helvetica" w:cs="Helvetica"/>
        </w:rPr>
        <w:t xml:space="preserve"> </w:t>
      </w:r>
      <w:r w:rsidRPr="00790D6F">
        <w:rPr>
          <w:rFonts w:ascii="Helvetica" w:hAnsi="Helvetica" w:cs="Helvetica"/>
        </w:rPr>
        <w:lastRenderedPageBreak/>
        <w:t>paper examines Israeli Supreme Court decision in 456/71, Sara Barzani v.</w:t>
      </w:r>
      <w:r>
        <w:rPr>
          <w:rFonts w:ascii="Helvetica" w:hAnsi="Helvetica" w:cs="Helvetica"/>
        </w:rPr>
        <w:t xml:space="preserve"> </w:t>
      </w:r>
      <w:r w:rsidRPr="00790D6F">
        <w:rPr>
          <w:rFonts w:ascii="Helvetica" w:hAnsi="Helvetica" w:cs="Helvetica"/>
        </w:rPr>
        <w:t>Minister of Defense. In this case, the petitioner Barzani sought to annul the</w:t>
      </w:r>
      <w:r>
        <w:rPr>
          <w:rFonts w:ascii="Helvetica" w:hAnsi="Helvetica" w:cs="Helvetica"/>
        </w:rPr>
        <w:t xml:space="preserve"> </w:t>
      </w:r>
      <w:r w:rsidRPr="00790D6F">
        <w:rPr>
          <w:rFonts w:ascii="Helvetica" w:hAnsi="Helvetica" w:cs="Helvetica"/>
        </w:rPr>
        <w:t>decision of the Exemption Committee of the Tiberias Regional Recruiting</w:t>
      </w:r>
      <w:r>
        <w:rPr>
          <w:rFonts w:ascii="Helvetica" w:hAnsi="Helvetica" w:cs="Helvetica"/>
        </w:rPr>
        <w:t xml:space="preserve"> </w:t>
      </w:r>
      <w:r w:rsidRPr="00790D6F">
        <w:rPr>
          <w:rFonts w:ascii="Helvetica" w:hAnsi="Helvetica" w:cs="Helvetica"/>
        </w:rPr>
        <w:t>Office, which ordered her to serve.</w:t>
      </w:r>
    </w:p>
    <w:p w14:paraId="7960A220" w14:textId="77777777" w:rsidR="00261688" w:rsidRDefault="00261688" w:rsidP="00261688">
      <w:pPr>
        <w:bidi w:val="0"/>
        <w:spacing w:line="240" w:lineRule="auto"/>
        <w:jc w:val="both"/>
        <w:rPr>
          <w:rFonts w:ascii="Helvetica" w:hAnsi="Helvetica" w:cs="Helvetica"/>
        </w:rPr>
      </w:pPr>
      <w:r w:rsidRPr="00790D6F">
        <w:rPr>
          <w:rFonts w:ascii="Helvetica" w:hAnsi="Helvetica" w:cs="Helvetica"/>
        </w:rPr>
        <w:t>Judge Landau tried to distinguish between "traditional" convictions, based</w:t>
      </w:r>
      <w:r>
        <w:rPr>
          <w:rFonts w:ascii="Helvetica" w:hAnsi="Helvetica" w:cs="Helvetica"/>
        </w:rPr>
        <w:t xml:space="preserve"> </w:t>
      </w:r>
      <w:r w:rsidRPr="00790D6F">
        <w:rPr>
          <w:rFonts w:ascii="Helvetica" w:hAnsi="Helvetica" w:cs="Helvetica"/>
        </w:rPr>
        <w:t>primarily on the views of girl's family of origin and her community, and</w:t>
      </w:r>
      <w:r>
        <w:rPr>
          <w:rFonts w:ascii="Helvetica" w:hAnsi="Helvetica" w:cs="Helvetica"/>
        </w:rPr>
        <w:t xml:space="preserve"> </w:t>
      </w:r>
      <w:r w:rsidRPr="00790D6F">
        <w:rPr>
          <w:rFonts w:ascii="Helvetica" w:hAnsi="Helvetica" w:cs="Helvetica"/>
        </w:rPr>
        <w:t>religious convictions, which stem from individual beliefs and reflect Barzani's</w:t>
      </w:r>
      <w:r>
        <w:rPr>
          <w:rFonts w:ascii="Helvetica" w:hAnsi="Helvetica" w:cs="Helvetica"/>
        </w:rPr>
        <w:t xml:space="preserve"> </w:t>
      </w:r>
      <w:r w:rsidRPr="00790D6F">
        <w:rPr>
          <w:rFonts w:ascii="Helvetica" w:hAnsi="Helvetica" w:cs="Helvetica"/>
        </w:rPr>
        <w:t>individual right to be exempt from military service. In contrast, Judge Kister</w:t>
      </w:r>
      <w:r>
        <w:rPr>
          <w:rFonts w:ascii="Helvetica" w:hAnsi="Helvetica" w:cs="Helvetica"/>
        </w:rPr>
        <w:t xml:space="preserve"> </w:t>
      </w:r>
      <w:r w:rsidRPr="00790D6F">
        <w:rPr>
          <w:rFonts w:ascii="Helvetica" w:hAnsi="Helvetica" w:cs="Helvetica"/>
        </w:rPr>
        <w:t>constructively attributed religious convictions (and conscience) to any girl who</w:t>
      </w:r>
      <w:r>
        <w:rPr>
          <w:rFonts w:ascii="Helvetica" w:hAnsi="Helvetica" w:cs="Helvetica"/>
        </w:rPr>
        <w:t xml:space="preserve"> </w:t>
      </w:r>
      <w:r w:rsidRPr="00790D6F">
        <w:rPr>
          <w:rFonts w:ascii="Helvetica" w:hAnsi="Helvetica" w:cs="Helvetica"/>
        </w:rPr>
        <w:t>belongs to a religious community. Kister opined while pointing to no evidence</w:t>
      </w:r>
      <w:r>
        <w:rPr>
          <w:rFonts w:ascii="Helvetica" w:hAnsi="Helvetica" w:cs="Helvetica"/>
        </w:rPr>
        <w:t xml:space="preserve"> </w:t>
      </w:r>
      <w:r w:rsidRPr="00790D6F">
        <w:rPr>
          <w:rFonts w:ascii="Helvetica" w:hAnsi="Helvetica" w:cs="Helvetica"/>
        </w:rPr>
        <w:t>to support the view that the individual petitioner holds such convictions. He</w:t>
      </w:r>
      <w:r>
        <w:rPr>
          <w:rFonts w:ascii="Helvetica" w:hAnsi="Helvetica" w:cs="Helvetica"/>
        </w:rPr>
        <w:t xml:space="preserve"> </w:t>
      </w:r>
      <w:r w:rsidRPr="00790D6F">
        <w:rPr>
          <w:rFonts w:ascii="Helvetica" w:hAnsi="Helvetica" w:cs="Helvetica"/>
        </w:rPr>
        <w:t>considered women exemptions as a communal right, granted because the</w:t>
      </w:r>
      <w:r>
        <w:rPr>
          <w:rFonts w:ascii="Helvetica" w:hAnsi="Helvetica" w:cs="Helvetica"/>
        </w:rPr>
        <w:t xml:space="preserve"> </w:t>
      </w:r>
      <w:r w:rsidRPr="00790D6F">
        <w:rPr>
          <w:rFonts w:ascii="Helvetica" w:hAnsi="Helvetica" w:cs="Helvetica"/>
        </w:rPr>
        <w:t>petitioner belongs to a particular community.</w:t>
      </w:r>
      <w:r>
        <w:rPr>
          <w:rFonts w:ascii="Helvetica" w:hAnsi="Helvetica" w:cs="Helvetica"/>
        </w:rPr>
        <w:t xml:space="preserve"> </w:t>
      </w:r>
    </w:p>
    <w:p w14:paraId="0B38B185" w14:textId="77777777" w:rsidR="00261688" w:rsidRDefault="00261688" w:rsidP="00261688">
      <w:pPr>
        <w:bidi w:val="0"/>
        <w:spacing w:line="240" w:lineRule="auto"/>
        <w:jc w:val="both"/>
        <w:rPr>
          <w:rFonts w:ascii="Helvetica" w:hAnsi="Helvetica" w:cs="Helvetica"/>
        </w:rPr>
      </w:pPr>
      <w:r w:rsidRPr="00790D6F">
        <w:rPr>
          <w:rFonts w:ascii="Helvetica" w:hAnsi="Helvetica" w:cs="Helvetica"/>
        </w:rPr>
        <w:t>It seems that Judge Kister expanded the Haredi Concept of “babes in the</w:t>
      </w:r>
      <w:r>
        <w:rPr>
          <w:rFonts w:ascii="Helvetica" w:hAnsi="Helvetica" w:cs="Helvetica"/>
        </w:rPr>
        <w:t xml:space="preserve"> </w:t>
      </w:r>
      <w:r w:rsidRPr="00790D6F">
        <w:rPr>
          <w:rFonts w:ascii="Helvetica" w:hAnsi="Helvetica" w:cs="Helvetica"/>
        </w:rPr>
        <w:t xml:space="preserve">woods”. In the context before us, he applied this concept to </w:t>
      </w:r>
      <w:proofErr w:type="gramStart"/>
      <w:r w:rsidRPr="00790D6F">
        <w:rPr>
          <w:rFonts w:ascii="Helvetica" w:hAnsi="Helvetica" w:cs="Helvetica"/>
        </w:rPr>
        <w:t>Sarah Barzani,</w:t>
      </w:r>
      <w:r>
        <w:rPr>
          <w:rFonts w:ascii="Helvetica" w:hAnsi="Helvetica" w:cs="Helvetica"/>
        </w:rPr>
        <w:t xml:space="preserve"> </w:t>
      </w:r>
      <w:r w:rsidRPr="00790D6F">
        <w:rPr>
          <w:rFonts w:ascii="Helvetica" w:hAnsi="Helvetica" w:cs="Helvetica"/>
        </w:rPr>
        <w:t>and</w:t>
      </w:r>
      <w:proofErr w:type="gramEnd"/>
      <w:r w:rsidRPr="00790D6F">
        <w:rPr>
          <w:rFonts w:ascii="Helvetica" w:hAnsi="Helvetica" w:cs="Helvetica"/>
        </w:rPr>
        <w:t xml:space="preserve"> determined that she should not be subjected to tests for the definition of</w:t>
      </w:r>
      <w:r>
        <w:rPr>
          <w:rFonts w:ascii="Helvetica" w:hAnsi="Helvetica" w:cs="Helvetica"/>
        </w:rPr>
        <w:t xml:space="preserve"> </w:t>
      </w:r>
      <w:r w:rsidRPr="00790D6F">
        <w:rPr>
          <w:rFonts w:ascii="Helvetica" w:hAnsi="Helvetica" w:cs="Helvetica"/>
        </w:rPr>
        <w:t>“religious conviction”, but rather that she should be regarded as a “babe in the</w:t>
      </w:r>
      <w:r>
        <w:rPr>
          <w:rFonts w:ascii="Helvetica" w:hAnsi="Helvetica" w:cs="Helvetica"/>
        </w:rPr>
        <w:t xml:space="preserve"> </w:t>
      </w:r>
      <w:r w:rsidRPr="00790D6F">
        <w:rPr>
          <w:rFonts w:ascii="Helvetica" w:hAnsi="Helvetica" w:cs="Helvetica"/>
        </w:rPr>
        <w:t>woods”, according to the law.</w:t>
      </w:r>
    </w:p>
    <w:p w14:paraId="18FEF397" w14:textId="77777777" w:rsidR="00261688" w:rsidRDefault="00261688" w:rsidP="00261688">
      <w:pPr>
        <w:bidi w:val="0"/>
        <w:spacing w:line="240" w:lineRule="auto"/>
        <w:jc w:val="both"/>
        <w:rPr>
          <w:rFonts w:ascii="Helvetica" w:hAnsi="Helvetica" w:cs="Helvetica"/>
        </w:rPr>
      </w:pPr>
    </w:p>
    <w:p w14:paraId="07D3AB25" w14:textId="77777777" w:rsidR="00261688" w:rsidRPr="007F4254" w:rsidRDefault="00261688" w:rsidP="00261688">
      <w:pPr>
        <w:bidi w:val="0"/>
        <w:spacing w:line="240" w:lineRule="auto"/>
        <w:jc w:val="both"/>
        <w:rPr>
          <w:rFonts w:ascii="Helvetica" w:hAnsi="Helvetica" w:cs="Helvetica"/>
          <w:b/>
          <w:bCs/>
        </w:rPr>
      </w:pPr>
      <w:r w:rsidRPr="007F4254">
        <w:rPr>
          <w:rFonts w:ascii="Helvetica" w:hAnsi="Helvetica" w:cs="Helvetica"/>
          <w:b/>
          <w:bCs/>
        </w:rPr>
        <w:t>Beyond Antisemitism: The Economic Boycott against Israel</w:t>
      </w:r>
      <w:r>
        <w:rPr>
          <w:rFonts w:ascii="Helvetica" w:hAnsi="Helvetica" w:cs="Helvetica"/>
          <w:b/>
          <w:bCs/>
        </w:rPr>
        <w:t xml:space="preserve"> </w:t>
      </w:r>
      <w:r w:rsidRPr="007F4254">
        <w:rPr>
          <w:rFonts w:ascii="Helvetica" w:hAnsi="Helvetica" w:cs="Helvetica"/>
          <w:b/>
          <w:bCs/>
        </w:rPr>
        <w:t>and the Settlements, the Ethical Consumer, and Corporate</w:t>
      </w:r>
      <w:r>
        <w:rPr>
          <w:rFonts w:ascii="Helvetica" w:hAnsi="Helvetica" w:cs="Helvetica"/>
          <w:b/>
          <w:bCs/>
        </w:rPr>
        <w:t xml:space="preserve"> </w:t>
      </w:r>
      <w:r w:rsidRPr="007F4254">
        <w:rPr>
          <w:rFonts w:ascii="Helvetica" w:hAnsi="Helvetica" w:cs="Helvetica"/>
          <w:b/>
          <w:bCs/>
        </w:rPr>
        <w:t>Responsibility</w:t>
      </w:r>
    </w:p>
    <w:p w14:paraId="5E596243" w14:textId="77777777" w:rsidR="00261688" w:rsidRPr="007F4254" w:rsidRDefault="00261688" w:rsidP="00261688">
      <w:pPr>
        <w:bidi w:val="0"/>
        <w:spacing w:line="240" w:lineRule="auto"/>
        <w:jc w:val="both"/>
        <w:rPr>
          <w:rFonts w:ascii="Helvetica" w:hAnsi="Helvetica" w:cs="Helvetica"/>
        </w:rPr>
      </w:pPr>
      <w:r w:rsidRPr="007F4254">
        <w:rPr>
          <w:rFonts w:ascii="Helvetica" w:hAnsi="Helvetica" w:cs="Helvetica"/>
        </w:rPr>
        <w:t xml:space="preserve">Ofer </w:t>
      </w:r>
      <w:proofErr w:type="spellStart"/>
      <w:r w:rsidRPr="007F4254">
        <w:rPr>
          <w:rFonts w:ascii="Helvetica" w:hAnsi="Helvetica" w:cs="Helvetica"/>
        </w:rPr>
        <w:t>Sitbon</w:t>
      </w:r>
      <w:proofErr w:type="spellEnd"/>
    </w:p>
    <w:p w14:paraId="261B8A8B" w14:textId="77777777" w:rsidR="00261688" w:rsidRDefault="00261688" w:rsidP="00261688">
      <w:pPr>
        <w:bidi w:val="0"/>
        <w:spacing w:line="240" w:lineRule="auto"/>
        <w:jc w:val="both"/>
        <w:rPr>
          <w:rFonts w:ascii="Helvetica" w:hAnsi="Helvetica" w:cs="Helvetica"/>
        </w:rPr>
      </w:pPr>
      <w:r w:rsidRPr="007F4254">
        <w:rPr>
          <w:rFonts w:ascii="Helvetica" w:hAnsi="Helvetica" w:cs="Helvetica"/>
        </w:rPr>
        <w:t xml:space="preserve">In recent years, and </w:t>
      </w:r>
      <w:proofErr w:type="gramStart"/>
      <w:r w:rsidRPr="007F4254">
        <w:rPr>
          <w:rFonts w:ascii="Helvetica" w:hAnsi="Helvetica" w:cs="Helvetica"/>
        </w:rPr>
        <w:t>in light of</w:t>
      </w:r>
      <w:proofErr w:type="gramEnd"/>
      <w:r w:rsidRPr="007F4254">
        <w:rPr>
          <w:rFonts w:ascii="Helvetica" w:hAnsi="Helvetica" w:cs="Helvetica"/>
        </w:rPr>
        <w:t xml:space="preserve"> the faltering </w:t>
      </w:r>
      <w:proofErr w:type="gramStart"/>
      <w:r w:rsidRPr="007F4254">
        <w:rPr>
          <w:rFonts w:ascii="Helvetica" w:hAnsi="Helvetica" w:cs="Helvetica"/>
        </w:rPr>
        <w:t>Israeli-Palestinian</w:t>
      </w:r>
      <w:proofErr w:type="gramEnd"/>
      <w:r w:rsidRPr="007F4254">
        <w:rPr>
          <w:rFonts w:ascii="Helvetica" w:hAnsi="Helvetica" w:cs="Helvetica"/>
        </w:rPr>
        <w:t xml:space="preserve"> negotiations,</w:t>
      </w:r>
      <w:r>
        <w:rPr>
          <w:rFonts w:ascii="Helvetica" w:hAnsi="Helvetica" w:cs="Helvetica"/>
        </w:rPr>
        <w:t xml:space="preserve"> </w:t>
      </w:r>
      <w:r w:rsidRPr="007F4254">
        <w:rPr>
          <w:rFonts w:ascii="Helvetica" w:hAnsi="Helvetica" w:cs="Helvetica"/>
        </w:rPr>
        <w:t>there has been a growing demand in international academic, cultural,</w:t>
      </w:r>
      <w:r>
        <w:rPr>
          <w:rFonts w:ascii="Helvetica" w:hAnsi="Helvetica" w:cs="Helvetica"/>
        </w:rPr>
        <w:t xml:space="preserve"> </w:t>
      </w:r>
      <w:r w:rsidRPr="007F4254">
        <w:rPr>
          <w:rFonts w:ascii="Helvetica" w:hAnsi="Helvetica" w:cs="Helvetica"/>
        </w:rPr>
        <w:t>economic, and sporting arenas to boycott the State of Israel and/or the Israeli</w:t>
      </w:r>
      <w:r>
        <w:rPr>
          <w:rFonts w:ascii="Helvetica" w:hAnsi="Helvetica" w:cs="Helvetica"/>
        </w:rPr>
        <w:t xml:space="preserve"> </w:t>
      </w:r>
      <w:r w:rsidRPr="007F4254">
        <w:rPr>
          <w:rFonts w:ascii="Helvetica" w:hAnsi="Helvetica" w:cs="Helvetica"/>
        </w:rPr>
        <w:t>settlements in the West Bank. Initiated in 2005, the Boycott, Divestment, and</w:t>
      </w:r>
      <w:r>
        <w:rPr>
          <w:rFonts w:ascii="Helvetica" w:hAnsi="Helvetica" w:cs="Helvetica"/>
        </w:rPr>
        <w:t xml:space="preserve"> </w:t>
      </w:r>
      <w:r w:rsidRPr="007F4254">
        <w:rPr>
          <w:rFonts w:ascii="Helvetica" w:hAnsi="Helvetica" w:cs="Helvetica"/>
        </w:rPr>
        <w:t>Sanctions (BDS) campaign is most vocal in this context. This article examines</w:t>
      </w:r>
      <w:r>
        <w:rPr>
          <w:rFonts w:ascii="Helvetica" w:hAnsi="Helvetica" w:cs="Helvetica"/>
        </w:rPr>
        <w:t xml:space="preserve"> </w:t>
      </w:r>
      <w:r w:rsidRPr="007F4254">
        <w:rPr>
          <w:rFonts w:ascii="Helvetica" w:hAnsi="Helvetica" w:cs="Helvetica"/>
        </w:rPr>
        <w:t>only the economic aspects of the boycott and the way it is received by the</w:t>
      </w:r>
      <w:r>
        <w:rPr>
          <w:rFonts w:ascii="Helvetica" w:hAnsi="Helvetica" w:cs="Helvetica"/>
        </w:rPr>
        <w:t xml:space="preserve"> </w:t>
      </w:r>
      <w:r w:rsidRPr="007F4254">
        <w:rPr>
          <w:rFonts w:ascii="Helvetica" w:hAnsi="Helvetica" w:cs="Helvetica"/>
        </w:rPr>
        <w:t>public of Israel, arguing that the common understanding of it as "classic anti-</w:t>
      </w:r>
      <w:r>
        <w:rPr>
          <w:rFonts w:ascii="Helvetica" w:hAnsi="Helvetica" w:cs="Helvetica"/>
        </w:rPr>
        <w:t xml:space="preserve"> </w:t>
      </w:r>
      <w:r w:rsidRPr="007F4254">
        <w:rPr>
          <w:rFonts w:ascii="Helvetica" w:hAnsi="Helvetica" w:cs="Helvetica"/>
        </w:rPr>
        <w:t>Semitism in a modern cloak" (in the words of Prime Minister Netanyahu) is</w:t>
      </w:r>
      <w:r>
        <w:rPr>
          <w:rFonts w:ascii="Helvetica" w:hAnsi="Helvetica" w:cs="Helvetica"/>
        </w:rPr>
        <w:t xml:space="preserve"> </w:t>
      </w:r>
      <w:r w:rsidRPr="007F4254">
        <w:rPr>
          <w:rFonts w:ascii="Helvetica" w:hAnsi="Helvetica" w:cs="Helvetica"/>
        </w:rPr>
        <w:t>partial and therefore lacking. Although anti-Israeli and even anti-Semitic</w:t>
      </w:r>
      <w:r>
        <w:rPr>
          <w:rFonts w:ascii="Helvetica" w:hAnsi="Helvetica" w:cs="Helvetica"/>
        </w:rPr>
        <w:t xml:space="preserve"> </w:t>
      </w:r>
      <w:r w:rsidRPr="007F4254">
        <w:rPr>
          <w:rFonts w:ascii="Helvetica" w:hAnsi="Helvetica" w:cs="Helvetica"/>
        </w:rPr>
        <w:t>biases underlie some aspects of the call for an economic boycott, this article</w:t>
      </w:r>
      <w:r>
        <w:rPr>
          <w:rFonts w:ascii="Helvetica" w:hAnsi="Helvetica" w:cs="Helvetica"/>
        </w:rPr>
        <w:t xml:space="preserve"> </w:t>
      </w:r>
      <w:r w:rsidRPr="007F4254">
        <w:rPr>
          <w:rFonts w:ascii="Helvetica" w:hAnsi="Helvetica" w:cs="Helvetica"/>
        </w:rPr>
        <w:t>suggests that the emergence of a global discourse of corporate responsibility</w:t>
      </w:r>
      <w:r>
        <w:rPr>
          <w:rFonts w:ascii="Helvetica" w:hAnsi="Helvetica" w:cs="Helvetica"/>
        </w:rPr>
        <w:t xml:space="preserve"> </w:t>
      </w:r>
      <w:r w:rsidRPr="007F4254">
        <w:rPr>
          <w:rFonts w:ascii="Helvetica" w:hAnsi="Helvetica" w:cs="Helvetica"/>
        </w:rPr>
        <w:t>in the 1990s - which serves as a normative and practical platform for diverse</w:t>
      </w:r>
      <w:r>
        <w:rPr>
          <w:rFonts w:ascii="Helvetica" w:hAnsi="Helvetica" w:cs="Helvetica"/>
        </w:rPr>
        <w:t xml:space="preserve"> </w:t>
      </w:r>
      <w:r w:rsidRPr="007F4254">
        <w:rPr>
          <w:rFonts w:ascii="Helvetica" w:hAnsi="Helvetica" w:cs="Helvetica"/>
        </w:rPr>
        <w:t>forms of political-consumerist activism, “normative pressure” and “shaming” -</w:t>
      </w:r>
      <w:r>
        <w:rPr>
          <w:rFonts w:ascii="Helvetica" w:hAnsi="Helvetica" w:cs="Helvetica"/>
        </w:rPr>
        <w:t xml:space="preserve"> </w:t>
      </w:r>
      <w:r w:rsidRPr="007F4254">
        <w:rPr>
          <w:rFonts w:ascii="Helvetica" w:hAnsi="Helvetica" w:cs="Helvetica"/>
        </w:rPr>
        <w:t>plays an inherent part in the boycott’s development and needs to be</w:t>
      </w:r>
      <w:r>
        <w:rPr>
          <w:rFonts w:ascii="Helvetica" w:hAnsi="Helvetica" w:cs="Helvetica"/>
        </w:rPr>
        <w:t xml:space="preserve"> </w:t>
      </w:r>
      <w:r w:rsidRPr="007F4254">
        <w:rPr>
          <w:rFonts w:ascii="Helvetica" w:hAnsi="Helvetica" w:cs="Helvetica"/>
        </w:rPr>
        <w:t>examined closely in order to better assess its roots and goals. The article</w:t>
      </w:r>
      <w:r>
        <w:rPr>
          <w:rFonts w:ascii="Helvetica" w:hAnsi="Helvetica" w:cs="Helvetica"/>
        </w:rPr>
        <w:t xml:space="preserve"> </w:t>
      </w:r>
      <w:r w:rsidRPr="007F4254">
        <w:rPr>
          <w:rFonts w:ascii="Helvetica" w:hAnsi="Helvetica" w:cs="Helvetica"/>
        </w:rPr>
        <w:t>demonstrates that though economic boycott practices are perceived in Israel</w:t>
      </w:r>
      <w:r>
        <w:rPr>
          <w:rFonts w:ascii="Helvetica" w:hAnsi="Helvetica" w:cs="Helvetica"/>
        </w:rPr>
        <w:t xml:space="preserve"> </w:t>
      </w:r>
      <w:r w:rsidRPr="007F4254">
        <w:rPr>
          <w:rFonts w:ascii="Helvetica" w:hAnsi="Helvetica" w:cs="Helvetica"/>
        </w:rPr>
        <w:t>as a unique phenomenon, practices and modes of economic activism used by</w:t>
      </w:r>
      <w:r>
        <w:rPr>
          <w:rFonts w:ascii="Helvetica" w:hAnsi="Helvetica" w:cs="Helvetica"/>
        </w:rPr>
        <w:t xml:space="preserve"> </w:t>
      </w:r>
      <w:r w:rsidRPr="007F4254">
        <w:rPr>
          <w:rFonts w:ascii="Helvetica" w:hAnsi="Helvetica" w:cs="Helvetica"/>
        </w:rPr>
        <w:t>various players in the Israeli-Palestinian arena are not different from other</w:t>
      </w:r>
      <w:r>
        <w:rPr>
          <w:rFonts w:ascii="Helvetica" w:hAnsi="Helvetica" w:cs="Helvetica"/>
        </w:rPr>
        <w:t xml:space="preserve"> </w:t>
      </w:r>
      <w:r w:rsidRPr="007F4254">
        <w:rPr>
          <w:rFonts w:ascii="Helvetica" w:hAnsi="Helvetica" w:cs="Helvetica"/>
        </w:rPr>
        <w:t>cases of shaming, pressuring, and economically sanctioning business</w:t>
      </w:r>
      <w:r>
        <w:rPr>
          <w:rFonts w:ascii="Helvetica" w:hAnsi="Helvetica" w:cs="Helvetica"/>
        </w:rPr>
        <w:t xml:space="preserve"> </w:t>
      </w:r>
      <w:r w:rsidRPr="007F4254">
        <w:rPr>
          <w:rFonts w:ascii="Helvetica" w:hAnsi="Helvetica" w:cs="Helvetica"/>
        </w:rPr>
        <w:t>corporations for direct or indirect infringement of human rights, practices that</w:t>
      </w:r>
      <w:r>
        <w:rPr>
          <w:rFonts w:ascii="Helvetica" w:hAnsi="Helvetica" w:cs="Helvetica"/>
        </w:rPr>
        <w:t xml:space="preserve"> </w:t>
      </w:r>
      <w:r w:rsidRPr="007F4254">
        <w:rPr>
          <w:rFonts w:ascii="Helvetica" w:hAnsi="Helvetica" w:cs="Helvetica"/>
        </w:rPr>
        <w:t>have become increasingly prevalent in recent decades.</w:t>
      </w:r>
    </w:p>
    <w:p w14:paraId="099EC70C" w14:textId="77777777" w:rsidR="00261688" w:rsidRDefault="00261688" w:rsidP="00261688">
      <w:pPr>
        <w:bidi w:val="0"/>
        <w:spacing w:line="240" w:lineRule="auto"/>
        <w:jc w:val="both"/>
        <w:rPr>
          <w:rFonts w:ascii="Helvetica" w:hAnsi="Helvetica" w:cs="Helvetica"/>
        </w:rPr>
      </w:pPr>
    </w:p>
    <w:p w14:paraId="2B46D4F4" w14:textId="77777777" w:rsidR="00261688" w:rsidRPr="003E70D9" w:rsidRDefault="00261688" w:rsidP="00261688">
      <w:pPr>
        <w:bidi w:val="0"/>
        <w:spacing w:line="240" w:lineRule="auto"/>
        <w:jc w:val="both"/>
        <w:rPr>
          <w:rFonts w:ascii="Helvetica" w:hAnsi="Helvetica" w:cs="Helvetica"/>
          <w:b/>
          <w:bCs/>
        </w:rPr>
      </w:pPr>
      <w:r w:rsidRPr="003E70D9">
        <w:rPr>
          <w:rFonts w:ascii="Helvetica" w:hAnsi="Helvetica" w:cs="Helvetica"/>
          <w:b/>
          <w:bCs/>
        </w:rPr>
        <w:lastRenderedPageBreak/>
        <w:t>A Likud Bear Hug: The NRP Position Regarding Political</w:t>
      </w:r>
      <w:r>
        <w:rPr>
          <w:rFonts w:ascii="Helvetica" w:hAnsi="Helvetica" w:cs="Helvetica"/>
          <w:b/>
          <w:bCs/>
        </w:rPr>
        <w:t xml:space="preserve"> </w:t>
      </w:r>
      <w:r w:rsidRPr="003E70D9">
        <w:rPr>
          <w:rFonts w:ascii="Helvetica" w:hAnsi="Helvetica" w:cs="Helvetica"/>
          <w:b/>
          <w:bCs/>
        </w:rPr>
        <w:t>Partnership with the Likud Party 1977-1992</w:t>
      </w:r>
    </w:p>
    <w:p w14:paraId="576453F4" w14:textId="77777777" w:rsidR="00261688" w:rsidRPr="003E70D9" w:rsidRDefault="00261688" w:rsidP="00261688">
      <w:pPr>
        <w:bidi w:val="0"/>
        <w:spacing w:line="240" w:lineRule="auto"/>
        <w:jc w:val="both"/>
        <w:rPr>
          <w:rFonts w:ascii="Helvetica" w:hAnsi="Helvetica" w:cs="Helvetica"/>
        </w:rPr>
      </w:pPr>
      <w:r w:rsidRPr="003E70D9">
        <w:rPr>
          <w:rFonts w:ascii="Helvetica" w:hAnsi="Helvetica" w:cs="Helvetica"/>
        </w:rPr>
        <w:t xml:space="preserve">Aharon (Roni) </w:t>
      </w:r>
      <w:proofErr w:type="spellStart"/>
      <w:r w:rsidRPr="003E70D9">
        <w:rPr>
          <w:rFonts w:ascii="Helvetica" w:hAnsi="Helvetica" w:cs="Helvetica"/>
        </w:rPr>
        <w:t>Kampinsky</w:t>
      </w:r>
      <w:proofErr w:type="spellEnd"/>
    </w:p>
    <w:p w14:paraId="3EF5A423" w14:textId="77777777" w:rsidR="00261688" w:rsidRPr="003E70D9" w:rsidRDefault="00261688" w:rsidP="00261688">
      <w:pPr>
        <w:bidi w:val="0"/>
        <w:spacing w:line="240" w:lineRule="auto"/>
        <w:jc w:val="both"/>
        <w:rPr>
          <w:rFonts w:ascii="Helvetica" w:hAnsi="Helvetica" w:cs="Helvetica"/>
        </w:rPr>
      </w:pPr>
      <w:r w:rsidRPr="003E70D9">
        <w:rPr>
          <w:rFonts w:ascii="Helvetica" w:hAnsi="Helvetica" w:cs="Helvetica"/>
        </w:rPr>
        <w:t>This article traces the ups and downs of the relations between the ruling Likud</w:t>
      </w:r>
      <w:r>
        <w:rPr>
          <w:rFonts w:ascii="Helvetica" w:hAnsi="Helvetica" w:cs="Helvetica"/>
        </w:rPr>
        <w:t xml:space="preserve"> </w:t>
      </w:r>
      <w:r w:rsidRPr="003E70D9">
        <w:rPr>
          <w:rFonts w:ascii="Helvetica" w:hAnsi="Helvetica" w:cs="Helvetica"/>
        </w:rPr>
        <w:t>Party and the National Religious Party (NRP) between 1977 and 1992, the</w:t>
      </w:r>
      <w:r>
        <w:rPr>
          <w:rFonts w:ascii="Helvetica" w:hAnsi="Helvetica" w:cs="Helvetica"/>
        </w:rPr>
        <w:t xml:space="preserve"> </w:t>
      </w:r>
      <w:r w:rsidRPr="003E70D9">
        <w:rPr>
          <w:rFonts w:ascii="Helvetica" w:hAnsi="Helvetica" w:cs="Helvetica"/>
        </w:rPr>
        <w:t>leadership periods of two prominent NRP leaders, Yosef Burg and Zevulun</w:t>
      </w:r>
      <w:r>
        <w:rPr>
          <w:rFonts w:ascii="Helvetica" w:hAnsi="Helvetica" w:cs="Helvetica"/>
        </w:rPr>
        <w:t xml:space="preserve"> </w:t>
      </w:r>
      <w:r w:rsidRPr="003E70D9">
        <w:rPr>
          <w:rFonts w:ascii="Helvetica" w:hAnsi="Helvetica" w:cs="Helvetica"/>
        </w:rPr>
        <w:t>Hammer. It addresses the bear-hug feeling of then Zionist-religious leaders</w:t>
      </w:r>
      <w:r>
        <w:rPr>
          <w:rFonts w:ascii="Helvetica" w:hAnsi="Helvetica" w:cs="Helvetica"/>
        </w:rPr>
        <w:t xml:space="preserve"> </w:t>
      </w:r>
      <w:r w:rsidRPr="003E70D9">
        <w:rPr>
          <w:rFonts w:ascii="Helvetica" w:hAnsi="Helvetica" w:cs="Helvetica"/>
        </w:rPr>
        <w:t>who followed the NRP’s political alliance with the Likud as they watched the</w:t>
      </w:r>
      <w:r>
        <w:rPr>
          <w:rFonts w:ascii="Helvetica" w:hAnsi="Helvetica" w:cs="Helvetica"/>
        </w:rPr>
        <w:t xml:space="preserve"> </w:t>
      </w:r>
      <w:r w:rsidRPr="003E70D9">
        <w:rPr>
          <w:rFonts w:ascii="Helvetica" w:hAnsi="Helvetica" w:cs="Helvetica"/>
        </w:rPr>
        <w:t xml:space="preserve">NRP’s diminishing political power during the reign of the Likud with </w:t>
      </w:r>
      <w:proofErr w:type="spellStart"/>
      <w:r w:rsidRPr="003E70D9">
        <w:rPr>
          <w:rFonts w:ascii="Helvetica" w:hAnsi="Helvetica" w:cs="Helvetica"/>
        </w:rPr>
        <w:t>evergrowing</w:t>
      </w:r>
      <w:proofErr w:type="spellEnd"/>
      <w:r>
        <w:rPr>
          <w:rFonts w:ascii="Helvetica" w:hAnsi="Helvetica" w:cs="Helvetica"/>
        </w:rPr>
        <w:t xml:space="preserve"> </w:t>
      </w:r>
      <w:r w:rsidRPr="003E70D9">
        <w:rPr>
          <w:rFonts w:ascii="Helvetica" w:hAnsi="Helvetica" w:cs="Helvetica"/>
        </w:rPr>
        <w:t>disappointment.</w:t>
      </w:r>
    </w:p>
    <w:p w14:paraId="70A6AD27" w14:textId="77777777" w:rsidR="00261688" w:rsidRDefault="00261688" w:rsidP="00261688">
      <w:pPr>
        <w:bidi w:val="0"/>
        <w:spacing w:line="240" w:lineRule="auto"/>
        <w:jc w:val="both"/>
        <w:rPr>
          <w:rFonts w:ascii="Helvetica" w:hAnsi="Helvetica" w:cs="Helvetica"/>
        </w:rPr>
      </w:pPr>
      <w:r w:rsidRPr="003E70D9">
        <w:rPr>
          <w:rFonts w:ascii="Helvetica" w:hAnsi="Helvetica" w:cs="Helvetica"/>
        </w:rPr>
        <w:t>The article examines several processes that led to the NRP’s electoral</w:t>
      </w:r>
      <w:r>
        <w:rPr>
          <w:rFonts w:ascii="Helvetica" w:hAnsi="Helvetica" w:cs="Helvetica"/>
        </w:rPr>
        <w:t xml:space="preserve"> </w:t>
      </w:r>
      <w:r w:rsidRPr="003E70D9">
        <w:rPr>
          <w:rFonts w:ascii="Helvetica" w:hAnsi="Helvetica" w:cs="Helvetica"/>
        </w:rPr>
        <w:t>decline during the examined period: (1) Voting for the Likud became a</w:t>
      </w:r>
      <w:r>
        <w:rPr>
          <w:rFonts w:ascii="Helvetica" w:hAnsi="Helvetica" w:cs="Helvetica"/>
        </w:rPr>
        <w:t xml:space="preserve"> </w:t>
      </w:r>
      <w:r w:rsidRPr="003E70D9">
        <w:rPr>
          <w:rFonts w:ascii="Helvetica" w:hAnsi="Helvetica" w:cs="Helvetica"/>
        </w:rPr>
        <w:t>preferable option for national-religious voters, engendering political</w:t>
      </w:r>
      <w:r>
        <w:rPr>
          <w:rFonts w:ascii="Helvetica" w:hAnsi="Helvetica" w:cs="Helvetica"/>
        </w:rPr>
        <w:t xml:space="preserve"> </w:t>
      </w:r>
      <w:r w:rsidRPr="003E70D9">
        <w:rPr>
          <w:rFonts w:ascii="Helvetica" w:hAnsi="Helvetica" w:cs="Helvetica"/>
        </w:rPr>
        <w:t>competition between the two parties. (2) The ultra-Orthodox parties gained</w:t>
      </w:r>
      <w:r>
        <w:rPr>
          <w:rFonts w:ascii="Helvetica" w:hAnsi="Helvetica" w:cs="Helvetica"/>
        </w:rPr>
        <w:t xml:space="preserve"> </w:t>
      </w:r>
      <w:r w:rsidRPr="003E70D9">
        <w:rPr>
          <w:rFonts w:ascii="Helvetica" w:hAnsi="Helvetica" w:cs="Helvetica"/>
        </w:rPr>
        <w:t>power in Likud-led governments and became the dominant factor in the</w:t>
      </w:r>
      <w:r>
        <w:rPr>
          <w:rFonts w:ascii="Helvetica" w:hAnsi="Helvetica" w:cs="Helvetica"/>
        </w:rPr>
        <w:t xml:space="preserve"> </w:t>
      </w:r>
      <w:r w:rsidRPr="003E70D9">
        <w:rPr>
          <w:rFonts w:ascii="Helvetica" w:hAnsi="Helvetica" w:cs="Helvetica"/>
        </w:rPr>
        <w:t>religious political arena at the expense of the NRP, creating tension between</w:t>
      </w:r>
      <w:r>
        <w:rPr>
          <w:rFonts w:ascii="Helvetica" w:hAnsi="Helvetica" w:cs="Helvetica"/>
        </w:rPr>
        <w:t xml:space="preserve"> </w:t>
      </w:r>
      <w:r w:rsidRPr="003E70D9">
        <w:rPr>
          <w:rFonts w:ascii="Helvetica" w:hAnsi="Helvetica" w:cs="Helvetica"/>
        </w:rPr>
        <w:t>the NRP and the Likud. (3) Precisely because the NRP and the Likud were</w:t>
      </w:r>
      <w:r>
        <w:rPr>
          <w:rFonts w:ascii="Helvetica" w:hAnsi="Helvetica" w:cs="Helvetica"/>
        </w:rPr>
        <w:t xml:space="preserve"> </w:t>
      </w:r>
      <w:r w:rsidRPr="003E70D9">
        <w:rPr>
          <w:rFonts w:ascii="Helvetica" w:hAnsi="Helvetica" w:cs="Helvetica"/>
        </w:rPr>
        <w:t xml:space="preserve">twin political </w:t>
      </w:r>
      <w:proofErr w:type="gramStart"/>
      <w:r w:rsidRPr="003E70D9">
        <w:rPr>
          <w:rFonts w:ascii="Helvetica" w:hAnsi="Helvetica" w:cs="Helvetica"/>
        </w:rPr>
        <w:t>parties,</w:t>
      </w:r>
      <w:proofErr w:type="gramEnd"/>
      <w:r w:rsidRPr="003E70D9">
        <w:rPr>
          <w:rFonts w:ascii="Helvetica" w:hAnsi="Helvetica" w:cs="Helvetica"/>
        </w:rPr>
        <w:t xml:space="preserve"> the value of the former declined in the eyes of the</w:t>
      </w:r>
      <w:r>
        <w:rPr>
          <w:rFonts w:ascii="Helvetica" w:hAnsi="Helvetica" w:cs="Helvetica"/>
        </w:rPr>
        <w:t xml:space="preserve"> </w:t>
      </w:r>
      <w:r w:rsidRPr="003E70D9">
        <w:rPr>
          <w:rFonts w:ascii="Helvetica" w:hAnsi="Helvetica" w:cs="Helvetica"/>
        </w:rPr>
        <w:t>governing party that did not see the NRP as a force that might threaten its</w:t>
      </w:r>
      <w:r>
        <w:rPr>
          <w:rFonts w:ascii="Helvetica" w:hAnsi="Helvetica" w:cs="Helvetica"/>
        </w:rPr>
        <w:t xml:space="preserve"> </w:t>
      </w:r>
      <w:r w:rsidRPr="003E70D9">
        <w:rPr>
          <w:rFonts w:ascii="Helvetica" w:hAnsi="Helvetica" w:cs="Helvetica"/>
        </w:rPr>
        <w:t>rule. (4) The changing perception of the NRP as part of the right-wing bloc</w:t>
      </w:r>
      <w:r>
        <w:rPr>
          <w:rFonts w:ascii="Helvetica" w:hAnsi="Helvetica" w:cs="Helvetica"/>
        </w:rPr>
        <w:t xml:space="preserve"> </w:t>
      </w:r>
      <w:r w:rsidRPr="003E70D9">
        <w:rPr>
          <w:rFonts w:ascii="Helvetica" w:hAnsi="Helvetica" w:cs="Helvetica"/>
        </w:rPr>
        <w:t>rather than as a party that could tip the scales when forming a coalition.</w:t>
      </w:r>
      <w:r>
        <w:rPr>
          <w:rFonts w:ascii="Helvetica" w:hAnsi="Helvetica" w:cs="Helvetica"/>
        </w:rPr>
        <w:t xml:space="preserve"> </w:t>
      </w:r>
    </w:p>
    <w:p w14:paraId="454D9439" w14:textId="77777777" w:rsidR="00261688" w:rsidRPr="00955E96" w:rsidRDefault="00261688" w:rsidP="00261688">
      <w:pPr>
        <w:bidi w:val="0"/>
        <w:spacing w:line="240" w:lineRule="auto"/>
        <w:jc w:val="both"/>
        <w:rPr>
          <w:rFonts w:ascii="Helvetica" w:hAnsi="Helvetica" w:cs="Helvetica"/>
        </w:rPr>
      </w:pPr>
      <w:r w:rsidRPr="003E70D9">
        <w:rPr>
          <w:rFonts w:ascii="Helvetica" w:hAnsi="Helvetica" w:cs="Helvetica"/>
        </w:rPr>
        <w:t>On security issues, the NRP held a moderate stance when compared with</w:t>
      </w:r>
      <w:r>
        <w:rPr>
          <w:rFonts w:ascii="Helvetica" w:hAnsi="Helvetica" w:cs="Helvetica"/>
        </w:rPr>
        <w:t xml:space="preserve"> </w:t>
      </w:r>
      <w:r w:rsidRPr="003E70D9">
        <w:rPr>
          <w:rFonts w:ascii="Helvetica" w:hAnsi="Helvetica" w:cs="Helvetica"/>
        </w:rPr>
        <w:t>the activism of the Likud. In the First Lebanon War and in the Gulf War, it was</w:t>
      </w:r>
      <w:r>
        <w:rPr>
          <w:rFonts w:ascii="Helvetica" w:hAnsi="Helvetica" w:cs="Helvetica"/>
        </w:rPr>
        <w:t xml:space="preserve"> </w:t>
      </w:r>
      <w:r w:rsidRPr="003E70D9">
        <w:rPr>
          <w:rFonts w:ascii="Helvetica" w:hAnsi="Helvetica" w:cs="Helvetica"/>
        </w:rPr>
        <w:t>the NRP that sought to tone down the Likud ministers. This policy</w:t>
      </w:r>
      <w:r>
        <w:rPr>
          <w:rFonts w:ascii="Helvetica" w:hAnsi="Helvetica" w:cs="Helvetica"/>
        </w:rPr>
        <w:t xml:space="preserve"> </w:t>
      </w:r>
      <w:r w:rsidRPr="003E70D9">
        <w:rPr>
          <w:rFonts w:ascii="Helvetica" w:hAnsi="Helvetica" w:cs="Helvetica"/>
        </w:rPr>
        <w:t>disappointed many NRP voters and led them to vote for distinctly right-wing</w:t>
      </w:r>
      <w:r>
        <w:rPr>
          <w:rFonts w:ascii="Helvetica" w:hAnsi="Helvetica" w:cs="Helvetica"/>
        </w:rPr>
        <w:t xml:space="preserve"> </w:t>
      </w:r>
      <w:r w:rsidRPr="003E70D9">
        <w:rPr>
          <w:rFonts w:ascii="Helvetica" w:hAnsi="Helvetica" w:cs="Helvetica"/>
        </w:rPr>
        <w:t xml:space="preserve">parties such as </w:t>
      </w:r>
      <w:proofErr w:type="spellStart"/>
      <w:r w:rsidRPr="003E70D9">
        <w:rPr>
          <w:rFonts w:ascii="Helvetica" w:hAnsi="Helvetica" w:cs="Helvetica"/>
        </w:rPr>
        <w:t>Techia</w:t>
      </w:r>
      <w:proofErr w:type="spellEnd"/>
      <w:r w:rsidRPr="003E70D9">
        <w:rPr>
          <w:rFonts w:ascii="Helvetica" w:hAnsi="Helvetica" w:cs="Helvetica"/>
        </w:rPr>
        <w:t xml:space="preserve"> [Revival] or </w:t>
      </w:r>
      <w:proofErr w:type="spellStart"/>
      <w:r w:rsidRPr="003E70D9">
        <w:rPr>
          <w:rFonts w:ascii="Helvetica" w:hAnsi="Helvetica" w:cs="Helvetica"/>
        </w:rPr>
        <w:t>Moledet</w:t>
      </w:r>
      <w:proofErr w:type="spellEnd"/>
      <w:r w:rsidRPr="003E70D9">
        <w:rPr>
          <w:rFonts w:ascii="Helvetica" w:hAnsi="Helvetica" w:cs="Helvetica"/>
        </w:rPr>
        <w:t xml:space="preserve"> [Homeland]. In 1992, as the NRP</w:t>
      </w:r>
      <w:r>
        <w:rPr>
          <w:rFonts w:ascii="Helvetica" w:hAnsi="Helvetica" w:cs="Helvetica"/>
        </w:rPr>
        <w:t xml:space="preserve"> </w:t>
      </w:r>
      <w:r w:rsidRPr="003E70D9">
        <w:rPr>
          <w:rFonts w:ascii="Helvetica" w:hAnsi="Helvetica" w:cs="Helvetica"/>
        </w:rPr>
        <w:t>realized that most of its voters identify with right-wing positions, it decided to</w:t>
      </w:r>
      <w:r>
        <w:rPr>
          <w:rFonts w:ascii="Helvetica" w:hAnsi="Helvetica" w:cs="Helvetica"/>
        </w:rPr>
        <w:t xml:space="preserve"> </w:t>
      </w:r>
      <w:r w:rsidRPr="003E70D9">
        <w:rPr>
          <w:rFonts w:ascii="Helvetica" w:hAnsi="Helvetica" w:cs="Helvetica"/>
        </w:rPr>
        <w:t>position itself to the right of the Likud. During the Oslo Accords period, when</w:t>
      </w:r>
      <w:r>
        <w:rPr>
          <w:rFonts w:ascii="Helvetica" w:hAnsi="Helvetica" w:cs="Helvetica"/>
        </w:rPr>
        <w:t xml:space="preserve"> </w:t>
      </w:r>
      <w:r w:rsidRPr="003E70D9">
        <w:rPr>
          <w:rFonts w:ascii="Helvetica" w:hAnsi="Helvetica" w:cs="Helvetica"/>
        </w:rPr>
        <w:t>Labor Party led the government, continuous terrorist attacks and unsuccessful</w:t>
      </w:r>
      <w:r>
        <w:rPr>
          <w:rFonts w:ascii="Helvetica" w:hAnsi="Helvetica" w:cs="Helvetica"/>
        </w:rPr>
        <w:t xml:space="preserve"> </w:t>
      </w:r>
      <w:r w:rsidRPr="003E70D9">
        <w:rPr>
          <w:rFonts w:ascii="Helvetica" w:hAnsi="Helvetica" w:cs="Helvetica"/>
        </w:rPr>
        <w:t>attempts to achieve the sought-after state of security left the NRP with only</w:t>
      </w:r>
      <w:r>
        <w:rPr>
          <w:rFonts w:ascii="Helvetica" w:hAnsi="Helvetica" w:cs="Helvetica"/>
        </w:rPr>
        <w:t xml:space="preserve"> </w:t>
      </w:r>
      <w:r w:rsidRPr="003E70D9">
        <w:rPr>
          <w:rFonts w:ascii="Helvetica" w:hAnsi="Helvetica" w:cs="Helvetica"/>
        </w:rPr>
        <w:t>one political option: to align with right-wing parties, as religious Zionism grew</w:t>
      </w:r>
      <w:r>
        <w:rPr>
          <w:rFonts w:ascii="Helvetica" w:hAnsi="Helvetica" w:cs="Helvetica"/>
        </w:rPr>
        <w:t xml:space="preserve"> </w:t>
      </w:r>
      <w:r w:rsidRPr="003E70D9">
        <w:rPr>
          <w:rFonts w:ascii="Helvetica" w:hAnsi="Helvetica" w:cs="Helvetica"/>
        </w:rPr>
        <w:t>increasingly more reticent about foreign policy agreements. This trend is</w:t>
      </w:r>
      <w:r>
        <w:rPr>
          <w:rFonts w:ascii="Helvetica" w:hAnsi="Helvetica" w:cs="Helvetica"/>
        </w:rPr>
        <w:t xml:space="preserve"> </w:t>
      </w:r>
      <w:r w:rsidRPr="003E70D9">
        <w:rPr>
          <w:rFonts w:ascii="Helvetica" w:hAnsi="Helvetica" w:cs="Helvetica"/>
        </w:rPr>
        <w:t xml:space="preserve">backed by public opinion polls whereby </w:t>
      </w:r>
      <w:proofErr w:type="gramStart"/>
      <w:r w:rsidRPr="003E70D9">
        <w:rPr>
          <w:rFonts w:ascii="Helvetica" w:hAnsi="Helvetica" w:cs="Helvetica"/>
        </w:rPr>
        <w:t>the majority of</w:t>
      </w:r>
      <w:proofErr w:type="gramEnd"/>
      <w:r w:rsidRPr="003E70D9">
        <w:rPr>
          <w:rFonts w:ascii="Helvetica" w:hAnsi="Helvetica" w:cs="Helvetica"/>
        </w:rPr>
        <w:t xml:space="preserve"> national religious</w:t>
      </w:r>
      <w:r>
        <w:rPr>
          <w:rFonts w:ascii="Helvetica" w:hAnsi="Helvetica" w:cs="Helvetica"/>
        </w:rPr>
        <w:t xml:space="preserve"> </w:t>
      </w:r>
      <w:r w:rsidRPr="003E70D9">
        <w:rPr>
          <w:rFonts w:ascii="Helvetica" w:hAnsi="Helvetica" w:cs="Helvetica"/>
        </w:rPr>
        <w:t xml:space="preserve">voters hold right-wing </w:t>
      </w:r>
      <w:proofErr w:type="spellStart"/>
      <w:r w:rsidRPr="003E70D9">
        <w:rPr>
          <w:rFonts w:ascii="Helvetica" w:hAnsi="Helvetica" w:cs="Helvetica"/>
        </w:rPr>
        <w:t>positons</w:t>
      </w:r>
      <w:proofErr w:type="spellEnd"/>
      <w:r w:rsidRPr="003E70D9">
        <w:rPr>
          <w:rFonts w:ascii="Helvetica" w:hAnsi="Helvetica" w:cs="Helvetica"/>
        </w:rPr>
        <w:t xml:space="preserve"> on foreign affairs and security issues. In the</w:t>
      </w:r>
      <w:r>
        <w:rPr>
          <w:rFonts w:ascii="Helvetica" w:hAnsi="Helvetica" w:cs="Helvetica"/>
        </w:rPr>
        <w:t xml:space="preserve"> </w:t>
      </w:r>
      <w:r w:rsidRPr="00EC168A">
        <w:rPr>
          <w:rFonts w:ascii="Helvetica" w:hAnsi="Helvetica" w:cs="Helvetica"/>
        </w:rPr>
        <w:t xml:space="preserve">21st century, the NRP rebranded itself as </w:t>
      </w:r>
      <w:proofErr w:type="spellStart"/>
      <w:r w:rsidRPr="00EC168A">
        <w:rPr>
          <w:rFonts w:ascii="Helvetica" w:hAnsi="Helvetica" w:cs="Helvetica"/>
        </w:rPr>
        <w:t>HaBayit</w:t>
      </w:r>
      <w:proofErr w:type="spellEnd"/>
      <w:r w:rsidRPr="00EC168A">
        <w:rPr>
          <w:rFonts w:ascii="Helvetica" w:hAnsi="Helvetica" w:cs="Helvetica"/>
        </w:rPr>
        <w:t xml:space="preserve"> </w:t>
      </w:r>
      <w:proofErr w:type="spellStart"/>
      <w:r w:rsidRPr="00EC168A">
        <w:rPr>
          <w:rFonts w:ascii="Helvetica" w:hAnsi="Helvetica" w:cs="Helvetica"/>
        </w:rPr>
        <w:t>HaYehudi</w:t>
      </w:r>
      <w:proofErr w:type="spellEnd"/>
      <w:r w:rsidRPr="00EC168A">
        <w:rPr>
          <w:rFonts w:ascii="Helvetica" w:hAnsi="Helvetica" w:cs="Helvetica"/>
        </w:rPr>
        <w:t xml:space="preserve"> [Jewish Home],</w:t>
      </w:r>
      <w:r>
        <w:rPr>
          <w:rFonts w:ascii="Helvetica" w:hAnsi="Helvetica" w:cs="Helvetica"/>
        </w:rPr>
        <w:t xml:space="preserve"> </w:t>
      </w:r>
      <w:r w:rsidRPr="00EC168A">
        <w:rPr>
          <w:rFonts w:ascii="Helvetica" w:hAnsi="Helvetica" w:cs="Helvetica"/>
        </w:rPr>
        <w:t>and its current name, Yemina [Rightwards], is perhaps the most manifest</w:t>
      </w:r>
      <w:r>
        <w:rPr>
          <w:rFonts w:ascii="Helvetica" w:hAnsi="Helvetica" w:cs="Helvetica"/>
        </w:rPr>
        <w:t xml:space="preserve"> </w:t>
      </w:r>
      <w:r w:rsidRPr="00EC168A">
        <w:rPr>
          <w:rFonts w:ascii="Helvetica" w:hAnsi="Helvetica" w:cs="Helvetica"/>
        </w:rPr>
        <w:t>proof of the differentiation process religious Zionism experienced, departing</w:t>
      </w:r>
      <w:r>
        <w:rPr>
          <w:rFonts w:ascii="Helvetica" w:hAnsi="Helvetica" w:cs="Helvetica"/>
        </w:rPr>
        <w:t xml:space="preserve"> </w:t>
      </w:r>
      <w:r w:rsidRPr="00EC168A">
        <w:rPr>
          <w:rFonts w:ascii="Helvetica" w:hAnsi="Helvetica" w:cs="Helvetica"/>
        </w:rPr>
        <w:t>from the Begin and Shamir government periods.</w:t>
      </w:r>
    </w:p>
    <w:p w14:paraId="12A2592E" w14:textId="77777777" w:rsidR="00B91BFD" w:rsidRPr="00261688" w:rsidRDefault="00B91BFD">
      <w:pPr>
        <w:rPr>
          <w:rFonts w:hint="cs"/>
        </w:rPr>
      </w:pPr>
    </w:p>
    <w:sectPr w:rsidR="00B91BFD" w:rsidRPr="00261688" w:rsidSect="00B91BF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88"/>
    <w:rsid w:val="00261688"/>
    <w:rsid w:val="002756D7"/>
    <w:rsid w:val="0094267E"/>
    <w:rsid w:val="00B91B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4EFA"/>
  <w15:chartTrackingRefBased/>
  <w15:docId w15:val="{8CC44333-66CD-4F86-9573-1EED3223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688"/>
    <w:pPr>
      <w:bidi/>
    </w:pPr>
  </w:style>
  <w:style w:type="paragraph" w:styleId="1">
    <w:name w:val="heading 1"/>
    <w:basedOn w:val="a"/>
    <w:next w:val="a"/>
    <w:link w:val="10"/>
    <w:uiPriority w:val="9"/>
    <w:qFormat/>
    <w:rsid w:val="00261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61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6168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6168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6168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616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16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16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16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עבודות"/>
    <w:basedOn w:val="a"/>
    <w:link w:val="a4"/>
    <w:qFormat/>
    <w:rsid w:val="00B91BFD"/>
    <w:pPr>
      <w:spacing w:line="360" w:lineRule="auto"/>
      <w:jc w:val="both"/>
    </w:pPr>
    <w:rPr>
      <w:rFonts w:ascii="David" w:hAnsi="David" w:cs="David"/>
    </w:rPr>
  </w:style>
  <w:style w:type="character" w:customStyle="1" w:styleId="a4">
    <w:name w:val="עבודות תו"/>
    <w:basedOn w:val="a0"/>
    <w:link w:val="a3"/>
    <w:rsid w:val="00B91BFD"/>
    <w:rPr>
      <w:rFonts w:ascii="David" w:hAnsi="David" w:cs="David"/>
    </w:rPr>
  </w:style>
  <w:style w:type="character" w:customStyle="1" w:styleId="10">
    <w:name w:val="כותרת 1 תו"/>
    <w:basedOn w:val="a0"/>
    <w:link w:val="1"/>
    <w:uiPriority w:val="9"/>
    <w:rsid w:val="0026168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26168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26168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261688"/>
    <w:rPr>
      <w:rFonts w:eastAsiaTheme="majorEastAsia" w:cstheme="majorBidi"/>
      <w:i/>
      <w:iCs/>
      <w:color w:val="0F4761" w:themeColor="accent1" w:themeShade="BF"/>
    </w:rPr>
  </w:style>
  <w:style w:type="character" w:customStyle="1" w:styleId="50">
    <w:name w:val="כותרת 5 תו"/>
    <w:basedOn w:val="a0"/>
    <w:link w:val="5"/>
    <w:uiPriority w:val="9"/>
    <w:semiHidden/>
    <w:rsid w:val="00261688"/>
    <w:rPr>
      <w:rFonts w:eastAsiaTheme="majorEastAsia" w:cstheme="majorBidi"/>
      <w:color w:val="0F4761" w:themeColor="accent1" w:themeShade="BF"/>
    </w:rPr>
  </w:style>
  <w:style w:type="character" w:customStyle="1" w:styleId="60">
    <w:name w:val="כותרת 6 תו"/>
    <w:basedOn w:val="a0"/>
    <w:link w:val="6"/>
    <w:uiPriority w:val="9"/>
    <w:semiHidden/>
    <w:rsid w:val="00261688"/>
    <w:rPr>
      <w:rFonts w:eastAsiaTheme="majorEastAsia" w:cstheme="majorBidi"/>
      <w:i/>
      <w:iCs/>
      <w:color w:val="595959" w:themeColor="text1" w:themeTint="A6"/>
    </w:rPr>
  </w:style>
  <w:style w:type="character" w:customStyle="1" w:styleId="70">
    <w:name w:val="כותרת 7 תו"/>
    <w:basedOn w:val="a0"/>
    <w:link w:val="7"/>
    <w:uiPriority w:val="9"/>
    <w:semiHidden/>
    <w:rsid w:val="00261688"/>
    <w:rPr>
      <w:rFonts w:eastAsiaTheme="majorEastAsia" w:cstheme="majorBidi"/>
      <w:color w:val="595959" w:themeColor="text1" w:themeTint="A6"/>
    </w:rPr>
  </w:style>
  <w:style w:type="character" w:customStyle="1" w:styleId="80">
    <w:name w:val="כותרת 8 תו"/>
    <w:basedOn w:val="a0"/>
    <w:link w:val="8"/>
    <w:uiPriority w:val="9"/>
    <w:semiHidden/>
    <w:rsid w:val="00261688"/>
    <w:rPr>
      <w:rFonts w:eastAsiaTheme="majorEastAsia" w:cstheme="majorBidi"/>
      <w:i/>
      <w:iCs/>
      <w:color w:val="272727" w:themeColor="text1" w:themeTint="D8"/>
    </w:rPr>
  </w:style>
  <w:style w:type="character" w:customStyle="1" w:styleId="90">
    <w:name w:val="כותרת 9 תו"/>
    <w:basedOn w:val="a0"/>
    <w:link w:val="9"/>
    <w:uiPriority w:val="9"/>
    <w:semiHidden/>
    <w:rsid w:val="00261688"/>
    <w:rPr>
      <w:rFonts w:eastAsiaTheme="majorEastAsia" w:cstheme="majorBidi"/>
      <w:color w:val="272727" w:themeColor="text1" w:themeTint="D8"/>
    </w:rPr>
  </w:style>
  <w:style w:type="paragraph" w:styleId="a5">
    <w:name w:val="Title"/>
    <w:basedOn w:val="a"/>
    <w:next w:val="a"/>
    <w:link w:val="a6"/>
    <w:uiPriority w:val="10"/>
    <w:qFormat/>
    <w:rsid w:val="00261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כותרת טקסט תו"/>
    <w:basedOn w:val="a0"/>
    <w:link w:val="a5"/>
    <w:uiPriority w:val="10"/>
    <w:rsid w:val="00261688"/>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261688"/>
    <w:pPr>
      <w:numPr>
        <w:ilvl w:val="1"/>
      </w:numPr>
    </w:pPr>
    <w:rPr>
      <w:rFonts w:eastAsiaTheme="majorEastAsia" w:cstheme="majorBidi"/>
      <w:color w:val="595959" w:themeColor="text1" w:themeTint="A6"/>
      <w:spacing w:val="15"/>
      <w:sz w:val="28"/>
      <w:szCs w:val="28"/>
    </w:rPr>
  </w:style>
  <w:style w:type="character" w:customStyle="1" w:styleId="a8">
    <w:name w:val="כותרת משנה תו"/>
    <w:basedOn w:val="a0"/>
    <w:link w:val="a7"/>
    <w:uiPriority w:val="11"/>
    <w:rsid w:val="00261688"/>
    <w:rPr>
      <w:rFonts w:eastAsiaTheme="majorEastAsia" w:cstheme="majorBidi"/>
      <w:color w:val="595959" w:themeColor="text1" w:themeTint="A6"/>
      <w:spacing w:val="15"/>
      <w:sz w:val="28"/>
      <w:szCs w:val="28"/>
    </w:rPr>
  </w:style>
  <w:style w:type="paragraph" w:styleId="a9">
    <w:name w:val="Quote"/>
    <w:basedOn w:val="a"/>
    <w:next w:val="a"/>
    <w:link w:val="aa"/>
    <w:uiPriority w:val="29"/>
    <w:qFormat/>
    <w:rsid w:val="00261688"/>
    <w:pPr>
      <w:spacing w:before="160"/>
      <w:jc w:val="center"/>
    </w:pPr>
    <w:rPr>
      <w:i/>
      <w:iCs/>
      <w:color w:val="404040" w:themeColor="text1" w:themeTint="BF"/>
    </w:rPr>
  </w:style>
  <w:style w:type="character" w:customStyle="1" w:styleId="aa">
    <w:name w:val="ציטוט תו"/>
    <w:basedOn w:val="a0"/>
    <w:link w:val="a9"/>
    <w:uiPriority w:val="29"/>
    <w:rsid w:val="00261688"/>
    <w:rPr>
      <w:i/>
      <w:iCs/>
      <w:color w:val="404040" w:themeColor="text1" w:themeTint="BF"/>
    </w:rPr>
  </w:style>
  <w:style w:type="paragraph" w:styleId="ab">
    <w:name w:val="List Paragraph"/>
    <w:basedOn w:val="a"/>
    <w:uiPriority w:val="34"/>
    <w:qFormat/>
    <w:rsid w:val="00261688"/>
    <w:pPr>
      <w:ind w:left="720"/>
      <w:contextualSpacing/>
    </w:pPr>
  </w:style>
  <w:style w:type="character" w:styleId="ac">
    <w:name w:val="Intense Emphasis"/>
    <w:basedOn w:val="a0"/>
    <w:uiPriority w:val="21"/>
    <w:qFormat/>
    <w:rsid w:val="00261688"/>
    <w:rPr>
      <w:i/>
      <w:iCs/>
      <w:color w:val="0F4761" w:themeColor="accent1" w:themeShade="BF"/>
    </w:rPr>
  </w:style>
  <w:style w:type="paragraph" w:styleId="ad">
    <w:name w:val="Intense Quote"/>
    <w:basedOn w:val="a"/>
    <w:next w:val="a"/>
    <w:link w:val="ae"/>
    <w:uiPriority w:val="30"/>
    <w:qFormat/>
    <w:rsid w:val="00261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ציטוט חזק תו"/>
    <w:basedOn w:val="a0"/>
    <w:link w:val="ad"/>
    <w:uiPriority w:val="30"/>
    <w:rsid w:val="00261688"/>
    <w:rPr>
      <w:i/>
      <w:iCs/>
      <w:color w:val="0F4761" w:themeColor="accent1" w:themeShade="BF"/>
    </w:rPr>
  </w:style>
  <w:style w:type="character" w:styleId="af">
    <w:name w:val="Intense Reference"/>
    <w:basedOn w:val="a0"/>
    <w:uiPriority w:val="32"/>
    <w:qFormat/>
    <w:rsid w:val="002616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1908</Words>
  <Characters>9545</Characters>
  <Application>Microsoft Office Word</Application>
  <DocSecurity>0</DocSecurity>
  <Lines>79</Lines>
  <Paragraphs>22</Paragraphs>
  <ScaleCrop>false</ScaleCrop>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Glater</dc:creator>
  <cp:keywords/>
  <dc:description/>
  <cp:lastModifiedBy>Adi Glater</cp:lastModifiedBy>
  <cp:revision>1</cp:revision>
  <dcterms:created xsi:type="dcterms:W3CDTF">2025-11-18T11:08:00Z</dcterms:created>
  <dcterms:modified xsi:type="dcterms:W3CDTF">2025-11-18T11:09:00Z</dcterms:modified>
</cp:coreProperties>
</file>